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宋体" w:eastAsia="黑体"/>
          <w:b/>
          <w:sz w:val="30"/>
          <w:szCs w:val="30"/>
        </w:rPr>
      </w:pPr>
      <w:r>
        <w:drawing>
          <wp:anchor distT="0" distB="0" distL="114300" distR="114300" simplePos="0" relativeHeight="251659264" behindDoc="1" locked="0" layoutInCell="1" allowOverlap="1">
            <wp:simplePos x="0" y="0"/>
            <wp:positionH relativeFrom="column">
              <wp:posOffset>457200</wp:posOffset>
            </wp:positionH>
            <wp:positionV relativeFrom="paragraph">
              <wp:posOffset>-99060</wp:posOffset>
            </wp:positionV>
            <wp:extent cx="457200" cy="594360"/>
            <wp:effectExtent l="0" t="0" r="0" b="0"/>
            <wp:wrapNone/>
            <wp:docPr id="1" name="图片 2" descr="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标识"/>
                    <pic:cNvPicPr>
                      <a:picLocks noChangeAspect="1"/>
                    </pic:cNvPicPr>
                  </pic:nvPicPr>
                  <pic:blipFill>
                    <a:blip r:embed="rId4" cstate="print"/>
                    <a:stretch>
                      <a:fillRect/>
                    </a:stretch>
                  </pic:blipFill>
                  <pic:spPr>
                    <a:xfrm>
                      <a:off x="0" y="0"/>
                      <a:ext cx="457200" cy="594360"/>
                    </a:xfrm>
                    <a:prstGeom prst="rect">
                      <a:avLst/>
                    </a:prstGeom>
                    <a:noFill/>
                    <a:ln w="9525">
                      <a:noFill/>
                    </a:ln>
                  </pic:spPr>
                </pic:pic>
              </a:graphicData>
            </a:graphic>
          </wp:anchor>
        </w:drawing>
      </w:r>
      <w:r>
        <w:rPr>
          <w:rFonts w:hint="eastAsia" w:ascii="黑体" w:hAnsi="宋体" w:eastAsia="黑体"/>
          <w:b/>
          <w:sz w:val="36"/>
          <w:szCs w:val="36"/>
        </w:rPr>
        <w:t xml:space="preserve">       </w:t>
      </w:r>
      <w:r>
        <w:rPr>
          <w:rFonts w:hint="eastAsia" w:ascii="黑体" w:hAnsi="宋体" w:eastAsia="黑体"/>
          <w:b/>
          <w:sz w:val="30"/>
          <w:szCs w:val="30"/>
        </w:rPr>
        <w:t>河南中原黄金冶炼厂有限责任公司</w:t>
      </w:r>
    </w:p>
    <w:p>
      <w:pPr>
        <w:spacing w:line="460" w:lineRule="exact"/>
        <w:rPr>
          <w:rFonts w:ascii="黑体" w:hAnsi="宋体" w:eastAsia="黑体"/>
          <w:b/>
          <w:sz w:val="30"/>
          <w:szCs w:val="30"/>
        </w:rPr>
      </w:pPr>
    </w:p>
    <w:p>
      <w:pPr>
        <w:spacing w:line="340" w:lineRule="exact"/>
        <w:ind w:firstLine="360" w:firstLineChars="200"/>
        <w:rPr>
          <w:rFonts w:ascii="楷体_GB2312" w:hAnsi="宋体" w:eastAsia="楷体_GB2312"/>
          <w:sz w:val="18"/>
          <w:szCs w:val="18"/>
        </w:rPr>
      </w:pPr>
      <w:r>
        <w:rPr>
          <w:rFonts w:hint="eastAsia" w:ascii="楷体_GB2312" w:hAnsi="宋体" w:eastAsia="楷体_GB2312"/>
          <w:sz w:val="18"/>
          <w:szCs w:val="18"/>
        </w:rPr>
        <w:t xml:space="preserve">销售部：0398-2756707（硫酸/电解铜/磁选铁粉）                     传  真：0398-2718713                    </w:t>
      </w:r>
    </w:p>
    <w:p>
      <w:pPr>
        <w:spacing w:line="340" w:lineRule="exact"/>
        <w:ind w:firstLine="360" w:firstLineChars="200"/>
        <w:rPr>
          <w:rFonts w:ascii="楷体_GB2312" w:hAnsi="宋体" w:eastAsia="楷体_GB2312"/>
          <w:sz w:val="18"/>
          <w:szCs w:val="18"/>
        </w:rPr>
      </w:pPr>
      <w:r>
        <w:rPr>
          <w:rFonts w:hint="eastAsia" w:ascii="楷体_GB2312" w:hAnsi="宋体" w:eastAsia="楷体_GB2312"/>
          <w:sz w:val="18"/>
          <w:szCs w:val="18"/>
        </w:rPr>
        <w:t>地址：中国•河南三门峡市产业集聚区209国道南侧</w:t>
      </w:r>
    </w:p>
    <w:p>
      <w:pPr>
        <w:rPr>
          <w:rFonts w:ascii="宋体" w:hAnsi="宋体" w:cs="宋体"/>
          <w:sz w:val="28"/>
          <w:szCs w:val="28"/>
        </w:rPr>
      </w:pPr>
      <w:r>
        <w:rPr>
          <w:rFonts w:hint="eastAsia"/>
          <w:sz w:val="24"/>
          <w:u w:val="single"/>
        </w:rPr>
        <w:t xml:space="preserve">                                                                    </w:t>
      </w:r>
    </w:p>
    <w:p>
      <w:pPr>
        <w:jc w:val="center"/>
        <w:rPr>
          <w:rFonts w:asciiTheme="majorEastAsia" w:hAnsiTheme="majorEastAsia" w:eastAsiaTheme="majorEastAsia" w:cstheme="majorEastAsia"/>
          <w:bCs/>
          <w:sz w:val="36"/>
          <w:szCs w:val="36"/>
        </w:rPr>
      </w:pPr>
      <w:r>
        <w:rPr>
          <w:rFonts w:hint="eastAsia" w:asciiTheme="majorEastAsia" w:hAnsiTheme="majorEastAsia" w:eastAsiaTheme="majorEastAsia" w:cstheme="majorEastAsia"/>
          <w:bCs/>
          <w:sz w:val="36"/>
          <w:szCs w:val="36"/>
          <w:lang w:eastAsia="zh-CN"/>
        </w:rPr>
        <w:t>含铁尾渣</w:t>
      </w:r>
      <w:r>
        <w:rPr>
          <w:rFonts w:hint="eastAsia" w:asciiTheme="majorEastAsia" w:hAnsiTheme="majorEastAsia" w:eastAsiaTheme="majorEastAsia" w:cstheme="majorEastAsia"/>
          <w:bCs/>
          <w:sz w:val="36"/>
          <w:szCs w:val="36"/>
        </w:rPr>
        <w:t>销售竞价方案</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hint="eastAsia" w:asciiTheme="minorEastAsia" w:hAnsiTheme="minorEastAsia" w:cstheme="minorEastAsia"/>
          <w:sz w:val="28"/>
          <w:szCs w:val="28"/>
          <w:lang w:val="en-US" w:eastAsia="zh-CN"/>
        </w:rPr>
      </w:pPr>
      <w:r>
        <w:rPr>
          <w:rFonts w:hint="eastAsia" w:asciiTheme="majorEastAsia" w:hAnsiTheme="majorEastAsia" w:eastAsiaTheme="majorEastAsia" w:cstheme="majorEastAsia"/>
          <w:b/>
          <w:bCs/>
          <w:sz w:val="36"/>
          <w:szCs w:val="36"/>
        </w:rPr>
        <w:t xml:space="preserve">  </w:t>
      </w: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lang w:val="en-US" w:eastAsia="zh-CN"/>
        </w:rPr>
        <w:t xml:space="preserve">根据我司副产品销售计划，现对渣选尾渣部分产量进行公开报价销售；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lang w:eastAsia="zh-CN"/>
        </w:rPr>
        <w:t>销售</w:t>
      </w:r>
      <w:r>
        <w:rPr>
          <w:rFonts w:hint="eastAsia" w:asciiTheme="minorEastAsia" w:hAnsiTheme="minorEastAsia" w:cstheme="minorEastAsia"/>
          <w:sz w:val="28"/>
          <w:szCs w:val="28"/>
          <w:lang w:val="en-US" w:eastAsia="zh-CN"/>
        </w:rPr>
        <w:t>标的：含铁尾渣；</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lang w:eastAsia="zh-CN"/>
        </w:rPr>
      </w:pPr>
      <w:r>
        <w:rPr>
          <w:rFonts w:hint="eastAsia" w:asciiTheme="minorEastAsia" w:hAnsiTheme="minorEastAsia" w:cstheme="minorEastAsia"/>
          <w:sz w:val="28"/>
          <w:szCs w:val="28"/>
        </w:rPr>
        <w:t>产品规格：铁品位</w:t>
      </w:r>
      <w:r>
        <w:rPr>
          <w:rFonts w:hint="eastAsia" w:asciiTheme="minorEastAsia" w:hAnsiTheme="minorEastAsia" w:cstheme="minorEastAsia"/>
          <w:sz w:val="28"/>
          <w:szCs w:val="28"/>
          <w:lang w:val="en-US" w:eastAsia="zh-CN"/>
        </w:rPr>
        <w:t>33</w:t>
      </w:r>
      <w:r>
        <w:rPr>
          <w:rFonts w:hint="eastAsia" w:asciiTheme="minorEastAsia" w:hAnsiTheme="minorEastAsia" w:cstheme="minorEastAsia"/>
          <w:sz w:val="28"/>
          <w:szCs w:val="28"/>
        </w:rPr>
        <w:t>%-</w:t>
      </w:r>
      <w:r>
        <w:rPr>
          <w:rFonts w:hint="eastAsia" w:asciiTheme="minorEastAsia" w:hAnsiTheme="minorEastAsia" w:cstheme="minorEastAsia"/>
          <w:sz w:val="28"/>
          <w:szCs w:val="28"/>
          <w:lang w:val="en-US" w:eastAsia="zh-CN"/>
        </w:rPr>
        <w:t>37</w:t>
      </w:r>
      <w:r>
        <w:rPr>
          <w:rFonts w:hint="eastAsia" w:asciiTheme="minorEastAsia" w:hAnsiTheme="minorEastAsia" w:cstheme="minorEastAsia"/>
          <w:sz w:val="28"/>
          <w:szCs w:val="28"/>
        </w:rPr>
        <w:t>%，水份约15%</w:t>
      </w:r>
      <w:r>
        <w:rPr>
          <w:rFonts w:hint="eastAsia" w:asciiTheme="minorEastAsia" w:hAnsiTheme="minorEastAsia" w:cstheme="minorEastAsia"/>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销售</w:t>
      </w:r>
      <w:r>
        <w:rPr>
          <w:rFonts w:hint="eastAsia" w:asciiTheme="minorEastAsia" w:hAnsiTheme="minorEastAsia" w:cstheme="minorEastAsia"/>
          <w:sz w:val="28"/>
          <w:szCs w:val="28"/>
          <w:lang w:eastAsia="zh-CN"/>
        </w:rPr>
        <w:t>周期：</w:t>
      </w:r>
      <w:r>
        <w:rPr>
          <w:rFonts w:hint="eastAsia" w:asciiTheme="minorEastAsia" w:hAnsiTheme="minorEastAsia" w:cstheme="minorEastAsia"/>
          <w:sz w:val="28"/>
          <w:szCs w:val="28"/>
          <w:lang w:val="en-US" w:eastAsia="zh-CN"/>
        </w:rPr>
        <w:t>自合同签订之日起一年</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b/>
          <w:sz w:val="28"/>
          <w:szCs w:val="28"/>
          <w:lang w:val="en-US" w:eastAsia="zh-CN"/>
        </w:rPr>
      </w:pPr>
      <w:r>
        <w:rPr>
          <w:rFonts w:hint="eastAsia" w:asciiTheme="minorEastAsia" w:hAnsiTheme="minorEastAsia" w:cstheme="minorEastAsia"/>
          <w:sz w:val="28"/>
          <w:szCs w:val="28"/>
          <w:lang w:val="en-US" w:eastAsia="zh-CN"/>
        </w:rPr>
        <w:t>销售原则</w:t>
      </w:r>
      <w:r>
        <w:rPr>
          <w:rFonts w:hint="eastAsia" w:asciiTheme="minorEastAsia" w:hAnsiTheme="minorEastAsia" w:cstheme="minorEastAsia"/>
          <w:sz w:val="28"/>
          <w:szCs w:val="28"/>
        </w:rPr>
        <w:t>：</w:t>
      </w:r>
      <w:r>
        <w:rPr>
          <w:rFonts w:hint="eastAsia" w:asciiTheme="minorEastAsia" w:hAnsiTheme="minorEastAsia"/>
          <w:sz w:val="28"/>
          <w:szCs w:val="28"/>
          <w:lang w:eastAsia="zh-CN"/>
        </w:rPr>
        <w:t>渣选尾渣</w:t>
      </w:r>
      <w:r>
        <w:rPr>
          <w:rFonts w:hint="eastAsia" w:asciiTheme="minorEastAsia" w:hAnsiTheme="minorEastAsia"/>
          <w:sz w:val="28"/>
          <w:szCs w:val="28"/>
        </w:rPr>
        <w:t>销售以“</w:t>
      </w:r>
      <w:r>
        <w:rPr>
          <w:rFonts w:hint="eastAsia" w:asciiTheme="minorEastAsia" w:hAnsiTheme="minorEastAsia"/>
          <w:b/>
          <w:sz w:val="28"/>
          <w:szCs w:val="28"/>
        </w:rPr>
        <w:t>先竞价后议价，最终确定销售价格，所有合同价不低于我公司磋商成交价”为原则。根据客户报价从高到低依次议价，</w:t>
      </w:r>
      <w:r>
        <w:rPr>
          <w:rFonts w:hint="eastAsia" w:asciiTheme="minorEastAsia" w:hAnsiTheme="minorEastAsia"/>
          <w:b/>
          <w:sz w:val="28"/>
          <w:szCs w:val="28"/>
          <w:lang w:eastAsia="zh-CN"/>
        </w:rPr>
        <w:t>并</w:t>
      </w:r>
      <w:r>
        <w:rPr>
          <w:rFonts w:hint="eastAsia" w:asciiTheme="minorEastAsia" w:hAnsiTheme="minorEastAsia"/>
          <w:b/>
          <w:sz w:val="28"/>
          <w:szCs w:val="28"/>
        </w:rPr>
        <w:t>确定销售数量。</w:t>
      </w:r>
      <w:r>
        <w:rPr>
          <w:rFonts w:hint="eastAsia" w:asciiTheme="minorEastAsia" w:hAnsiTheme="minorEastAsia"/>
          <w:b/>
          <w:sz w:val="28"/>
          <w:szCs w:val="28"/>
          <w:lang w:eastAsia="zh-CN"/>
        </w:rPr>
        <w:t>同等</w:t>
      </w:r>
      <w:r>
        <w:rPr>
          <w:rFonts w:hint="eastAsia" w:asciiTheme="minorEastAsia" w:hAnsiTheme="minorEastAsia"/>
          <w:b/>
          <w:sz w:val="28"/>
          <w:szCs w:val="28"/>
        </w:rPr>
        <w:t>报价的，优先签约</w:t>
      </w:r>
      <w:r>
        <w:rPr>
          <w:rFonts w:hint="eastAsia" w:asciiTheme="minorEastAsia" w:hAnsiTheme="minorEastAsia"/>
          <w:b/>
          <w:sz w:val="28"/>
          <w:szCs w:val="28"/>
          <w:lang w:eastAsia="zh-CN"/>
        </w:rPr>
        <w:t>数量最大</w:t>
      </w:r>
      <w:r>
        <w:rPr>
          <w:rFonts w:hint="eastAsia" w:asciiTheme="minorEastAsia" w:hAnsiTheme="minorEastAsia"/>
          <w:b/>
          <w:sz w:val="28"/>
          <w:szCs w:val="28"/>
        </w:rPr>
        <w:t>的客户</w:t>
      </w:r>
      <w:r>
        <w:rPr>
          <w:rFonts w:hint="eastAsia" w:asciiTheme="minorEastAsia" w:hAnsiTheme="minorEastAsia"/>
          <w:b/>
          <w:sz w:val="28"/>
          <w:szCs w:val="28"/>
          <w:lang w:eastAsia="zh-CN"/>
        </w:rPr>
        <w:t>报</w:t>
      </w:r>
      <w:r>
        <w:rPr>
          <w:rFonts w:hint="eastAsia" w:asciiTheme="minorEastAsia" w:hAnsiTheme="minorEastAsia"/>
          <w:b/>
          <w:sz w:val="28"/>
          <w:szCs w:val="28"/>
        </w:rPr>
        <w:t>高者优先选择标段（只能选择其中一个标段</w:t>
      </w:r>
      <w:r>
        <w:rPr>
          <w:rFonts w:hint="eastAsia" w:asciiTheme="minorEastAsia" w:hAnsiTheme="minorEastAsia"/>
          <w:b/>
          <w:sz w:val="28"/>
          <w:szCs w:val="28"/>
          <w:lang w:eastAsia="zh-CN"/>
        </w:rPr>
        <w:t>）。</w:t>
      </w:r>
      <w:r>
        <w:rPr>
          <w:rFonts w:hint="eastAsia" w:asciiTheme="minorEastAsia" w:hAnsiTheme="minorEastAsia"/>
          <w:b/>
          <w:sz w:val="28"/>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议价同时采购方需提供详细仓储方案或计划，议价结束合同签订之前采购方必须提供具备法律效力的仓库租赁协议或自备仓库的合法环评手续。</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报价邮箱：ylcsjjcb@126.com(不得抄送其他邮箱）</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eastAsia"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报价截止时间：2021年3月23日15：00时止</w:t>
      </w:r>
    </w:p>
    <w:p>
      <w:pPr>
        <w:keepNext w:val="0"/>
        <w:keepLines w:val="0"/>
        <w:pageBreakBefore w:val="0"/>
        <w:widowControl w:val="0"/>
        <w:kinsoku/>
        <w:wordWrap/>
        <w:overflowPunct/>
        <w:topLinePunct w:val="0"/>
        <w:autoSpaceDE/>
        <w:autoSpaceDN/>
        <w:bidi w:val="0"/>
        <w:adjustRightInd/>
        <w:snapToGrid/>
        <w:spacing w:line="540" w:lineRule="exact"/>
        <w:ind w:firstLine="560" w:firstLineChars="200"/>
        <w:textAlignment w:val="auto"/>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联系电话：0398-2756853</w:t>
      </w:r>
    </w:p>
    <w:p>
      <w:pPr>
        <w:keepNext w:val="0"/>
        <w:keepLines w:val="0"/>
        <w:pageBreakBefore w:val="0"/>
        <w:widowControl w:val="0"/>
        <w:kinsoku/>
        <w:wordWrap/>
        <w:overflowPunct/>
        <w:topLinePunct w:val="0"/>
        <w:autoSpaceDE/>
        <w:autoSpaceDN/>
        <w:bidi w:val="0"/>
        <w:adjustRightInd/>
        <w:snapToGrid/>
        <w:spacing w:line="540" w:lineRule="exact"/>
        <w:ind w:firstLine="3640" w:firstLineChars="1300"/>
        <w:jc w:val="left"/>
        <w:textAlignment w:val="auto"/>
        <w:rPr>
          <w:rFonts w:asciiTheme="minorEastAsia" w:hAnsiTheme="minorEastAsia" w:cstheme="minorEastAsia"/>
          <w:sz w:val="28"/>
          <w:szCs w:val="28"/>
        </w:rPr>
      </w:pPr>
      <w:r>
        <w:rPr>
          <w:rFonts w:hint="eastAsia" w:asciiTheme="minorEastAsia" w:hAnsiTheme="minorEastAsia" w:cstheme="minorEastAsia"/>
          <w:sz w:val="28"/>
          <w:szCs w:val="28"/>
        </w:rPr>
        <w:t xml:space="preserve"> 河南中原黄金冶炼厂有限责任公司</w:t>
      </w:r>
    </w:p>
    <w:p>
      <w:pPr>
        <w:keepNext w:val="0"/>
        <w:keepLines w:val="0"/>
        <w:pageBreakBefore w:val="0"/>
        <w:widowControl w:val="0"/>
        <w:kinsoku/>
        <w:wordWrap/>
        <w:overflowPunct/>
        <w:topLinePunct w:val="0"/>
        <w:autoSpaceDE/>
        <w:autoSpaceDN/>
        <w:bidi w:val="0"/>
        <w:adjustRightInd/>
        <w:snapToGrid/>
        <w:spacing w:line="540" w:lineRule="exact"/>
        <w:ind w:firstLine="5460" w:firstLineChars="1950"/>
        <w:jc w:val="left"/>
        <w:textAlignment w:val="auto"/>
        <w:rPr>
          <w:rFonts w:asciiTheme="minorEastAsia" w:hAnsiTheme="minorEastAsia" w:cstheme="minorEastAsia"/>
          <w:sz w:val="28"/>
          <w:szCs w:val="28"/>
        </w:rPr>
      </w:pPr>
      <w:r>
        <w:rPr>
          <w:rFonts w:hint="eastAsia" w:asciiTheme="minorEastAsia" w:hAnsiTheme="minorEastAsia" w:cstheme="minorEastAsia"/>
          <w:sz w:val="28"/>
          <w:szCs w:val="28"/>
        </w:rPr>
        <w:t>销售部</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heme="minorEastAsia" w:hAnsiTheme="minorEastAsia" w:cstheme="minorEastAsia"/>
          <w:sz w:val="28"/>
          <w:szCs w:val="28"/>
        </w:rPr>
      </w:pPr>
      <w:r>
        <w:rPr>
          <w:rFonts w:hint="eastAsia" w:asciiTheme="minorEastAsia" w:hAnsiTheme="minorEastAsia" w:cstheme="minorEastAsia"/>
          <w:sz w:val="28"/>
          <w:szCs w:val="28"/>
        </w:rPr>
        <w:t xml:space="preserve">                                  202</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年</w:t>
      </w:r>
      <w:r>
        <w:rPr>
          <w:rFonts w:hint="eastAsia" w:asciiTheme="minorEastAsia" w:hAnsiTheme="minorEastAsia" w:cstheme="minorEastAsia"/>
          <w:sz w:val="28"/>
          <w:szCs w:val="28"/>
          <w:lang w:val="en-US" w:eastAsia="zh-CN"/>
        </w:rPr>
        <w:t>3</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rPr>
        <w:t>日</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heme="minorEastAsia" w:hAnsi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heme="minorEastAsia" w:hAnsiTheme="minorEastAsia" w:cstheme="minorEastAsia"/>
          <w:sz w:val="28"/>
          <w:szCs w:val="28"/>
        </w:rPr>
      </w:pP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hint="eastAsia" w:asciiTheme="minorEastAsia" w:hAnsiTheme="minorEastAsia" w:cstheme="minorEastAsia"/>
          <w:sz w:val="28"/>
          <w:szCs w:val="28"/>
        </w:rPr>
      </w:pPr>
    </w:p>
    <w:p>
      <w:pPr>
        <w:spacing w:line="500" w:lineRule="exact"/>
        <w:jc w:val="center"/>
        <w:rPr>
          <w:rFonts w:ascii="黑体" w:hAnsi="宋体" w:eastAsia="黑体"/>
          <w:b/>
          <w:sz w:val="30"/>
          <w:szCs w:val="30"/>
        </w:rPr>
      </w:pPr>
      <w:r>
        <w:drawing>
          <wp:anchor distT="0" distB="0" distL="114300" distR="114300" simplePos="0" relativeHeight="251661312" behindDoc="1" locked="0" layoutInCell="1" allowOverlap="1">
            <wp:simplePos x="0" y="0"/>
            <wp:positionH relativeFrom="column">
              <wp:posOffset>457200</wp:posOffset>
            </wp:positionH>
            <wp:positionV relativeFrom="paragraph">
              <wp:posOffset>-99060</wp:posOffset>
            </wp:positionV>
            <wp:extent cx="457200" cy="594360"/>
            <wp:effectExtent l="0" t="0" r="0" b="0"/>
            <wp:wrapNone/>
            <wp:docPr id="2" name="图片 2" descr="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标识"/>
                    <pic:cNvPicPr>
                      <a:picLocks noChangeAspect="1"/>
                    </pic:cNvPicPr>
                  </pic:nvPicPr>
                  <pic:blipFill>
                    <a:blip r:embed="rId4" cstate="print"/>
                    <a:stretch>
                      <a:fillRect/>
                    </a:stretch>
                  </pic:blipFill>
                  <pic:spPr>
                    <a:xfrm>
                      <a:off x="0" y="0"/>
                      <a:ext cx="457200" cy="594360"/>
                    </a:xfrm>
                    <a:prstGeom prst="rect">
                      <a:avLst/>
                    </a:prstGeom>
                    <a:noFill/>
                    <a:ln w="9525">
                      <a:noFill/>
                    </a:ln>
                  </pic:spPr>
                </pic:pic>
              </a:graphicData>
            </a:graphic>
          </wp:anchor>
        </w:drawing>
      </w:r>
      <w:r>
        <w:rPr>
          <w:rFonts w:hint="eastAsia" w:ascii="黑体" w:hAnsi="宋体" w:eastAsia="黑体"/>
          <w:b/>
          <w:sz w:val="36"/>
          <w:szCs w:val="36"/>
        </w:rPr>
        <w:t xml:space="preserve">       </w:t>
      </w:r>
      <w:r>
        <w:rPr>
          <w:rFonts w:hint="eastAsia" w:ascii="黑体" w:hAnsi="宋体" w:eastAsia="黑体"/>
          <w:b/>
          <w:sz w:val="30"/>
          <w:szCs w:val="30"/>
        </w:rPr>
        <w:t>河南中原黄金冶炼厂有限责任公司</w:t>
      </w:r>
    </w:p>
    <w:p>
      <w:pPr>
        <w:spacing w:line="460" w:lineRule="exact"/>
        <w:rPr>
          <w:rFonts w:ascii="黑体" w:hAnsi="宋体" w:eastAsia="黑体"/>
          <w:b/>
          <w:sz w:val="30"/>
          <w:szCs w:val="30"/>
        </w:rPr>
      </w:pPr>
    </w:p>
    <w:p>
      <w:pPr>
        <w:spacing w:line="340" w:lineRule="exact"/>
        <w:ind w:firstLine="360" w:firstLineChars="200"/>
        <w:rPr>
          <w:rFonts w:ascii="楷体_GB2312" w:hAnsi="宋体" w:eastAsia="楷体_GB2312"/>
          <w:sz w:val="18"/>
          <w:szCs w:val="18"/>
        </w:rPr>
      </w:pPr>
      <w:r>
        <w:rPr>
          <w:rFonts w:hint="eastAsia" w:ascii="楷体_GB2312" w:hAnsi="宋体" w:eastAsia="楷体_GB2312"/>
          <w:sz w:val="18"/>
          <w:szCs w:val="18"/>
        </w:rPr>
        <w:t xml:space="preserve">销售部：0398-2756707（硫酸/电解铜/磁选铁粉）                     传  真：0398-2718713                    </w:t>
      </w:r>
    </w:p>
    <w:p>
      <w:pPr>
        <w:spacing w:line="340" w:lineRule="exact"/>
        <w:ind w:firstLine="360" w:firstLineChars="200"/>
        <w:rPr>
          <w:rFonts w:ascii="楷体_GB2312" w:hAnsi="宋体" w:eastAsia="楷体_GB2312"/>
          <w:sz w:val="18"/>
          <w:szCs w:val="18"/>
        </w:rPr>
      </w:pPr>
      <w:r>
        <w:rPr>
          <w:rFonts w:hint="eastAsia" w:ascii="楷体_GB2312" w:hAnsi="宋体" w:eastAsia="楷体_GB2312"/>
          <w:sz w:val="18"/>
          <w:szCs w:val="18"/>
        </w:rPr>
        <w:t>地址：中国•河南三门峡市产业集聚区209国道南侧</w:t>
      </w:r>
    </w:p>
    <w:p>
      <w:pPr>
        <w:rPr>
          <w:rFonts w:ascii="宋体" w:hAnsi="宋体" w:cs="宋体"/>
          <w:sz w:val="28"/>
          <w:szCs w:val="28"/>
        </w:rPr>
      </w:pPr>
      <w:r>
        <w:rPr>
          <w:rFonts w:hint="eastAsia"/>
          <w:sz w:val="24"/>
          <w:u w:val="single"/>
        </w:rPr>
        <w:t xml:space="preserve">                                                                    </w:t>
      </w:r>
    </w:p>
    <w:p>
      <w:pPr>
        <w:spacing w:line="340" w:lineRule="exact"/>
        <w:ind w:left="2249" w:hanging="2249" w:hangingChars="700"/>
        <w:jc w:val="center"/>
        <w:rPr>
          <w:rFonts w:hint="eastAsia"/>
          <w:b/>
          <w:sz w:val="32"/>
          <w:szCs w:val="32"/>
        </w:rPr>
      </w:pPr>
      <w:r>
        <w:rPr>
          <w:rFonts w:hint="eastAsia"/>
          <w:b/>
          <w:sz w:val="32"/>
          <w:szCs w:val="32"/>
          <w:lang w:eastAsia="zh-CN"/>
        </w:rPr>
        <w:t>渣选尾渣</w:t>
      </w:r>
      <w:r>
        <w:rPr>
          <w:rFonts w:hint="eastAsia"/>
          <w:b/>
          <w:sz w:val="32"/>
          <w:szCs w:val="32"/>
        </w:rPr>
        <w:t>销售报价说明</w:t>
      </w:r>
    </w:p>
    <w:p>
      <w:pPr>
        <w:spacing w:line="340" w:lineRule="exact"/>
        <w:rPr>
          <w:rFonts w:hint="eastAsia"/>
          <w:sz w:val="24"/>
        </w:rPr>
      </w:pP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1、报价产品：</w:t>
      </w:r>
      <w:r>
        <w:rPr>
          <w:rFonts w:hint="eastAsia" w:asciiTheme="minorEastAsia" w:hAnsiTheme="minorEastAsia" w:eastAsiaTheme="minorEastAsia" w:cstheme="minorEastAsia"/>
          <w:sz w:val="24"/>
          <w:szCs w:val="24"/>
          <w:lang w:eastAsia="zh-CN"/>
        </w:rPr>
        <w:t>渣选尾渣</w:t>
      </w:r>
      <w:r>
        <w:rPr>
          <w:rFonts w:hint="eastAsia" w:asciiTheme="minorEastAsia" w:hAnsiTheme="minorEastAsia" w:eastAsiaTheme="minorEastAsia" w:cstheme="minorEastAsia"/>
          <w:sz w:val="24"/>
          <w:szCs w:val="24"/>
        </w:rPr>
        <w:t>。</w:t>
      </w: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2、产品质量参数：</w:t>
      </w:r>
    </w:p>
    <w:tbl>
      <w:tblPr>
        <w:tblStyle w:val="5"/>
        <w:tblW w:w="8164" w:type="dxa"/>
        <w:tblInd w:w="0" w:type="dxa"/>
        <w:tblLayout w:type="fixed"/>
        <w:tblCellMar>
          <w:top w:w="15" w:type="dxa"/>
          <w:left w:w="15" w:type="dxa"/>
          <w:bottom w:w="15" w:type="dxa"/>
          <w:right w:w="15" w:type="dxa"/>
        </w:tblCellMar>
      </w:tblPr>
      <w:tblGrid>
        <w:gridCol w:w="2041"/>
        <w:gridCol w:w="2041"/>
        <w:gridCol w:w="2041"/>
        <w:gridCol w:w="2041"/>
      </w:tblGrid>
      <w:tr>
        <w:tblPrEx>
          <w:tblCellMar>
            <w:top w:w="15" w:type="dxa"/>
            <w:left w:w="15" w:type="dxa"/>
            <w:bottom w:w="15" w:type="dxa"/>
            <w:right w:w="15" w:type="dxa"/>
          </w:tblCellMar>
        </w:tblPrEx>
        <w:trPr>
          <w:trHeight w:val="499" w:hRule="atLeast"/>
        </w:trPr>
        <w:tc>
          <w:tcPr>
            <w:tcW w:w="20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产品名称</w:t>
            </w:r>
          </w:p>
        </w:tc>
        <w:tc>
          <w:tcPr>
            <w:tcW w:w="204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lang w:eastAsia="zh-CN"/>
              </w:rPr>
              <w:t>月</w:t>
            </w:r>
            <w:r>
              <w:rPr>
                <w:rFonts w:hint="eastAsia" w:asciiTheme="minorEastAsia" w:hAnsiTheme="minorEastAsia" w:eastAsiaTheme="minorEastAsia" w:cstheme="minorEastAsia"/>
                <w:color w:val="000000"/>
                <w:kern w:val="0"/>
                <w:sz w:val="24"/>
                <w:szCs w:val="24"/>
              </w:rPr>
              <w:t xml:space="preserve">供货量          </w:t>
            </w:r>
          </w:p>
        </w:tc>
        <w:tc>
          <w:tcPr>
            <w:tcW w:w="204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color w:val="000000"/>
                <w:kern w:val="0"/>
                <w:sz w:val="24"/>
                <w:szCs w:val="24"/>
              </w:rPr>
              <w:t>铁品位 （%）</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水份（</w:t>
            </w:r>
            <w:r>
              <w:rPr>
                <w:rFonts w:hint="eastAsia" w:asciiTheme="minorEastAsia" w:hAnsiTheme="minorEastAsia" w:cstheme="minorEastAsia"/>
                <w:color w:val="000000"/>
                <w:kern w:val="0"/>
                <w:sz w:val="24"/>
                <w:szCs w:val="24"/>
                <w:lang w:eastAsia="zh-CN"/>
              </w:rPr>
              <w:t>约</w:t>
            </w:r>
            <w:r>
              <w:rPr>
                <w:rFonts w:hint="eastAsia" w:asciiTheme="minorEastAsia" w:hAnsiTheme="minorEastAsia" w:eastAsiaTheme="minorEastAsia" w:cstheme="minorEastAsia"/>
                <w:color w:val="000000"/>
                <w:kern w:val="0"/>
                <w:sz w:val="24"/>
                <w:szCs w:val="24"/>
              </w:rPr>
              <w:t>%）</w:t>
            </w:r>
          </w:p>
        </w:tc>
      </w:tr>
      <w:tr>
        <w:tblPrEx>
          <w:tblCellMar>
            <w:top w:w="15" w:type="dxa"/>
            <w:left w:w="15" w:type="dxa"/>
            <w:bottom w:w="15" w:type="dxa"/>
            <w:right w:w="15" w:type="dxa"/>
          </w:tblCellMar>
        </w:tblPrEx>
        <w:trPr>
          <w:trHeight w:val="567" w:hRule="atLeast"/>
        </w:trPr>
        <w:tc>
          <w:tcPr>
            <w:tcW w:w="2041"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hint="eastAsia" w:asciiTheme="minorEastAsia" w:hAnsiTheme="minorEastAsia" w:eastAsiaTheme="minorEastAsia" w:cstheme="minorEastAsia"/>
                <w:color w:val="000000"/>
                <w:sz w:val="24"/>
                <w:szCs w:val="24"/>
                <w:lang w:eastAsia="zh-CN"/>
              </w:rPr>
            </w:pPr>
            <w:r>
              <w:rPr>
                <w:rFonts w:hint="eastAsia" w:asciiTheme="minorEastAsia" w:hAnsiTheme="minorEastAsia" w:eastAsiaTheme="minorEastAsia" w:cstheme="minorEastAsia"/>
                <w:color w:val="000000"/>
                <w:sz w:val="24"/>
                <w:szCs w:val="24"/>
                <w:lang w:eastAsia="zh-CN"/>
              </w:rPr>
              <w:t>含铁尾渣</w:t>
            </w:r>
          </w:p>
        </w:tc>
        <w:tc>
          <w:tcPr>
            <w:tcW w:w="204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szCs w:val="24"/>
                <w:lang w:val="en-US" w:eastAsia="zh-CN"/>
              </w:rPr>
            </w:pPr>
            <w:r>
              <w:rPr>
                <w:rFonts w:hint="eastAsia" w:asciiTheme="minorEastAsia" w:hAnsiTheme="minorEastAsia" w:eastAsiaTheme="minorEastAsia" w:cstheme="minorEastAsia"/>
                <w:color w:val="000000"/>
                <w:sz w:val="24"/>
                <w:szCs w:val="24"/>
                <w:lang w:val="en-US" w:eastAsia="zh-CN"/>
              </w:rPr>
              <w:t>20000吨</w:t>
            </w:r>
          </w:p>
        </w:tc>
        <w:tc>
          <w:tcPr>
            <w:tcW w:w="2041" w:type="dxa"/>
            <w:tcBorders>
              <w:top w:val="single" w:color="000000" w:sz="4" w:space="0"/>
              <w:left w:val="single" w:color="auto"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color w:val="000000"/>
                <w:kern w:val="0"/>
                <w:sz w:val="24"/>
                <w:szCs w:val="24"/>
                <w:lang w:val="en-US" w:eastAsia="zh-CN"/>
              </w:rPr>
              <w:t>33</w:t>
            </w:r>
            <w:r>
              <w:rPr>
                <w:rFonts w:hint="eastAsia" w:asciiTheme="minorEastAsia" w:hAnsiTheme="minorEastAsia" w:eastAsiaTheme="minorEastAsia" w:cstheme="minorEastAsia"/>
                <w:color w:val="000000"/>
                <w:kern w:val="0"/>
                <w:sz w:val="24"/>
                <w:szCs w:val="24"/>
              </w:rPr>
              <w:t>—</w:t>
            </w:r>
            <w:r>
              <w:rPr>
                <w:rFonts w:hint="eastAsia" w:asciiTheme="minorEastAsia" w:hAnsiTheme="minorEastAsia" w:eastAsiaTheme="minorEastAsia" w:cstheme="minorEastAsia"/>
                <w:color w:val="000000"/>
                <w:kern w:val="0"/>
                <w:sz w:val="24"/>
                <w:szCs w:val="24"/>
                <w:lang w:val="en-US" w:eastAsia="zh-CN"/>
              </w:rPr>
              <w:t>37</w:t>
            </w:r>
          </w:p>
        </w:tc>
        <w:tc>
          <w:tcPr>
            <w:tcW w:w="20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kern w:val="0"/>
                <w:sz w:val="24"/>
                <w:szCs w:val="24"/>
              </w:rPr>
              <w:t>15</w:t>
            </w:r>
          </w:p>
        </w:tc>
      </w:tr>
    </w:tbl>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4、报价说明:</w:t>
      </w: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4.1、报价单位资质要求：必须提供营业执照、环评手续等资质证件(须在有效期限内)。</w:t>
      </w: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4.2、同一客户用多家公司资质参与竞价，存在串通报价的将取消报价资格。</w:t>
      </w: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4.3、请报价单位务必填写：单价、报价有效期、报价单位信息，并加盖公章(邮件主题：202</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年X月X日</w:t>
      </w:r>
      <w:r>
        <w:rPr>
          <w:rFonts w:hint="eastAsia" w:asciiTheme="minorEastAsia" w:hAnsiTheme="minorEastAsia" w:eastAsiaTheme="minorEastAsia" w:cstheme="minorEastAsia"/>
          <w:sz w:val="24"/>
          <w:szCs w:val="24"/>
          <w:lang w:eastAsia="zh-CN"/>
        </w:rPr>
        <w:t>渣选尾渣</w:t>
      </w:r>
      <w:r>
        <w:rPr>
          <w:rFonts w:hint="eastAsia" w:asciiTheme="minorEastAsia" w:hAnsiTheme="minorEastAsia" w:eastAsiaTheme="minorEastAsia" w:cstheme="minorEastAsia"/>
          <w:sz w:val="24"/>
          <w:szCs w:val="24"/>
        </w:rPr>
        <w:t>报价)。</w:t>
      </w:r>
    </w:p>
    <w:p>
      <w:pPr>
        <w:spacing w:line="340" w:lineRule="exact"/>
        <w:rPr>
          <w:rFonts w:hint="eastAsia" w:asciiTheme="minorEastAsia" w:hAnsiTheme="minorEastAsia" w:eastAsiaTheme="minorEastAsia" w:cstheme="minorEastAsia"/>
          <w:b w:val="0"/>
          <w:bCs w:val="0"/>
          <w:color w:val="auto"/>
          <w:sz w:val="24"/>
          <w:szCs w:val="24"/>
          <w:shd w:val="clear" w:color="auto" w:fill="auto"/>
        </w:rPr>
      </w:pPr>
      <w:r>
        <w:rPr>
          <w:rFonts w:hint="eastAsia" w:asciiTheme="minorEastAsia" w:hAnsiTheme="minorEastAsia" w:eastAsiaTheme="minorEastAsia" w:cstheme="minorEastAsia"/>
          <w:b w:val="0"/>
          <w:bCs w:val="0"/>
          <w:color w:val="auto"/>
          <w:sz w:val="24"/>
          <w:szCs w:val="24"/>
          <w:u w:val="none"/>
          <w:shd w:val="clear" w:color="auto" w:fill="auto"/>
        </w:rPr>
        <w:fldChar w:fldCharType="begin"/>
      </w:r>
      <w:r>
        <w:rPr>
          <w:rFonts w:hint="eastAsia" w:asciiTheme="minorEastAsia" w:hAnsiTheme="minorEastAsia" w:eastAsiaTheme="minorEastAsia" w:cstheme="minorEastAsia"/>
          <w:b w:val="0"/>
          <w:bCs w:val="0"/>
          <w:color w:val="auto"/>
          <w:sz w:val="24"/>
          <w:szCs w:val="24"/>
          <w:u w:val="none"/>
          <w:shd w:val="clear" w:color="auto" w:fill="auto"/>
        </w:rPr>
        <w:instrText xml:space="preserve"> HYPERLINK "mailto:4.4、报价单、开票信息及营业执照、环评手续复印件应加盖公章发至ylcsjjcb@126.com后，及时联系我司人员收取。" </w:instrText>
      </w:r>
      <w:r>
        <w:rPr>
          <w:rFonts w:hint="eastAsia" w:asciiTheme="minorEastAsia" w:hAnsiTheme="minorEastAsia" w:eastAsiaTheme="minorEastAsia" w:cstheme="minorEastAsia"/>
          <w:b w:val="0"/>
          <w:bCs w:val="0"/>
          <w:color w:val="auto"/>
          <w:sz w:val="24"/>
          <w:szCs w:val="24"/>
          <w:u w:val="none"/>
          <w:shd w:val="clear" w:color="auto" w:fill="auto"/>
        </w:rPr>
        <w:fldChar w:fldCharType="separate"/>
      </w:r>
      <w:r>
        <w:rPr>
          <w:rStyle w:val="9"/>
          <w:rFonts w:hint="eastAsia" w:asciiTheme="minorEastAsia" w:hAnsiTheme="minorEastAsia" w:eastAsiaTheme="minorEastAsia" w:cstheme="minorEastAsia"/>
          <w:b w:val="0"/>
          <w:bCs w:val="0"/>
          <w:color w:val="auto"/>
          <w:sz w:val="24"/>
          <w:szCs w:val="24"/>
          <w:u w:val="none"/>
          <w:shd w:val="clear" w:color="auto" w:fill="auto"/>
        </w:rPr>
        <w:t>4.4、报价单原件、开票信息及营业执照、</w:t>
      </w:r>
      <w:r>
        <w:rPr>
          <w:rStyle w:val="9"/>
          <w:rFonts w:hint="eastAsia" w:asciiTheme="minorEastAsia" w:hAnsiTheme="minorEastAsia" w:eastAsiaTheme="minorEastAsia" w:cstheme="minorEastAsia"/>
          <w:b w:val="0"/>
          <w:bCs w:val="0"/>
          <w:color w:val="auto"/>
          <w:sz w:val="24"/>
          <w:szCs w:val="24"/>
          <w:u w:val="none"/>
          <w:shd w:val="clear" w:color="auto" w:fill="auto"/>
          <w:lang w:val="en-US" w:eastAsia="zh-CN"/>
        </w:rPr>
        <w:t>仓储预案及环评手续</w:t>
      </w:r>
      <w:r>
        <w:rPr>
          <w:rStyle w:val="9"/>
          <w:rFonts w:hint="eastAsia" w:asciiTheme="minorEastAsia" w:hAnsiTheme="minorEastAsia" w:eastAsiaTheme="minorEastAsia" w:cstheme="minorEastAsia"/>
          <w:b w:val="0"/>
          <w:bCs w:val="0"/>
          <w:color w:val="auto"/>
          <w:sz w:val="24"/>
          <w:szCs w:val="24"/>
          <w:u w:val="none"/>
          <w:shd w:val="clear" w:color="auto" w:fill="auto"/>
        </w:rPr>
        <w:t>应加盖公章发至ylcsjjcb@126.com后，及时联系我司人员收取。</w:t>
      </w:r>
      <w:r>
        <w:rPr>
          <w:rStyle w:val="9"/>
          <w:rFonts w:hint="eastAsia" w:asciiTheme="minorEastAsia" w:hAnsiTheme="minorEastAsia" w:eastAsiaTheme="minorEastAsia" w:cstheme="minorEastAsia"/>
          <w:b w:val="0"/>
          <w:bCs w:val="0"/>
          <w:color w:val="auto"/>
          <w:sz w:val="24"/>
          <w:szCs w:val="24"/>
          <w:u w:val="none"/>
          <w:shd w:val="clear" w:color="auto" w:fill="auto"/>
        </w:rPr>
        <w:fldChar w:fldCharType="end"/>
      </w: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4.5、报价截止时间：202</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23</w:t>
      </w:r>
      <w:r>
        <w:rPr>
          <w:rFonts w:hint="eastAsia" w:asciiTheme="minorEastAsia" w:hAnsiTheme="minorEastAsia" w:eastAsiaTheme="minorEastAsia" w:cstheme="minorEastAsia"/>
          <w:sz w:val="24"/>
          <w:szCs w:val="24"/>
        </w:rPr>
        <w:t>日</w:t>
      </w: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15：00截止（逾期报价单视为无效）。</w:t>
      </w:r>
    </w:p>
    <w:p>
      <w:pPr>
        <w:numPr>
          <w:ilvl w:val="0"/>
          <w:numId w:val="1"/>
        </w:num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报价保证金：</w:t>
      </w: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5.1、参与报价单位须于202</w:t>
      </w: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年</w:t>
      </w:r>
      <w:r>
        <w:rPr>
          <w:rFonts w:hint="eastAsia" w:asciiTheme="minorEastAsia" w:hAnsiTheme="minorEastAsia" w:eastAsiaTheme="minorEastAsia" w:cstheme="minorEastAsia"/>
          <w:sz w:val="24"/>
          <w:szCs w:val="24"/>
          <w:lang w:val="en-US" w:eastAsia="zh-CN"/>
        </w:rPr>
        <w:t>3</w:t>
      </w:r>
      <w:r>
        <w:rPr>
          <w:rFonts w:hint="eastAsia" w:asciiTheme="minorEastAsia" w:hAnsiTheme="minorEastAsia" w:eastAsiaTheme="minorEastAsia" w:cstheme="minorEastAsia"/>
          <w:sz w:val="24"/>
          <w:szCs w:val="24"/>
        </w:rPr>
        <w:t>月</w:t>
      </w:r>
      <w:r>
        <w:rPr>
          <w:rFonts w:hint="eastAsia" w:asciiTheme="minorEastAsia" w:hAnsiTheme="minorEastAsia" w:cstheme="minorEastAsia"/>
          <w:sz w:val="24"/>
          <w:szCs w:val="24"/>
          <w:lang w:val="en-US" w:eastAsia="zh-CN"/>
        </w:rPr>
        <w:t>23</w:t>
      </w:r>
      <w:bookmarkStart w:id="0" w:name="_GoBack"/>
      <w:bookmarkEnd w:id="0"/>
      <w:r>
        <w:rPr>
          <w:rFonts w:hint="eastAsia" w:asciiTheme="minorEastAsia" w:hAnsiTheme="minorEastAsia" w:eastAsiaTheme="minorEastAsia" w:cstheme="minorEastAsia"/>
          <w:sz w:val="24"/>
          <w:szCs w:val="24"/>
        </w:rPr>
        <w:t>日12：00前，交纳</w:t>
      </w:r>
      <w:r>
        <w:rPr>
          <w:rFonts w:hint="eastAsia" w:asciiTheme="minorEastAsia" w:hAnsiTheme="minorEastAsia" w:eastAsiaTheme="minorEastAsia" w:cstheme="minorEastAsia"/>
          <w:sz w:val="24"/>
          <w:szCs w:val="24"/>
          <w:lang w:eastAsia="zh-CN"/>
        </w:rPr>
        <w:t>竞价</w:t>
      </w:r>
      <w:r>
        <w:rPr>
          <w:rFonts w:hint="eastAsia" w:asciiTheme="minorEastAsia" w:hAnsiTheme="minorEastAsia" w:eastAsiaTheme="minorEastAsia" w:cstheme="minorEastAsia"/>
          <w:sz w:val="24"/>
          <w:szCs w:val="24"/>
        </w:rPr>
        <w:t>保证金（按报量交纳报价保证金，报价保证金月采购量×</w:t>
      </w:r>
      <w:r>
        <w:rPr>
          <w:rFonts w:hint="eastAsia" w:asciiTheme="minorEastAsia" w:hAnsiTheme="minorEastAsia" w:cstheme="minorEastAsia"/>
          <w:sz w:val="24"/>
          <w:szCs w:val="24"/>
          <w:lang w:val="en-US" w:eastAsia="zh-CN"/>
        </w:rPr>
        <w:t>3</w:t>
      </w:r>
      <w:r>
        <w:rPr>
          <w:rFonts w:hint="eastAsia" w:asciiTheme="minorEastAsia" w:hAnsiTheme="minorEastAsia" w:eastAsiaTheme="minorEastAsia" w:cstheme="minorEastAsia"/>
          <w:sz w:val="24"/>
          <w:szCs w:val="24"/>
          <w:lang w:val="en-US" w:eastAsia="zh-CN"/>
        </w:rPr>
        <w:t>0</w:t>
      </w:r>
      <w:r>
        <w:rPr>
          <w:rFonts w:hint="eastAsia" w:asciiTheme="minorEastAsia" w:hAnsiTheme="minorEastAsia" w:eastAsiaTheme="minorEastAsia" w:cstheme="minorEastAsia"/>
          <w:sz w:val="24"/>
          <w:szCs w:val="24"/>
        </w:rPr>
        <w:t>元/吨）</w:t>
      </w: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5.2、保证金汇至以下账户：</w:t>
      </w: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单位全称 ：河南中原黄金冶炼厂有限责任公司</w:t>
      </w: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开户银行：河南省三门峡市工行三门峡分行（行号：102505002293）</w:t>
      </w: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银行帐号：1713 0229 0920 0076 156</w:t>
      </w:r>
    </w:p>
    <w:p>
      <w:pPr>
        <w:numPr>
          <w:ilvl w:val="0"/>
          <w:numId w:val="1"/>
        </w:num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提货：</w:t>
      </w: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6.1、货款支付方式：电汇支付，先付款后提货，待提货完成后多退少补。</w:t>
      </w:r>
    </w:p>
    <w:p>
      <w:pPr>
        <w:spacing w:line="340" w:lineRule="exact"/>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rPr>
        <w:t>6.2、提货日期：</w:t>
      </w:r>
      <w:r>
        <w:rPr>
          <w:rFonts w:hint="eastAsia" w:asciiTheme="minorEastAsia" w:hAnsiTheme="minorEastAsia" w:eastAsiaTheme="minorEastAsia" w:cstheme="minorEastAsia"/>
          <w:sz w:val="24"/>
          <w:szCs w:val="24"/>
          <w:lang w:val="en-US" w:eastAsia="zh-CN"/>
        </w:rPr>
        <w:t>自合同签订之日起一年</w:t>
      </w: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6.3、交货方式：①</w:t>
      </w:r>
      <w:r>
        <w:rPr>
          <w:rFonts w:hint="eastAsia" w:asciiTheme="minorEastAsia" w:hAnsiTheme="minorEastAsia" w:eastAsiaTheme="minorEastAsia" w:cstheme="minorEastAsia"/>
          <w:sz w:val="24"/>
          <w:szCs w:val="24"/>
          <w:lang w:eastAsia="zh-CN"/>
        </w:rPr>
        <w:t>工厂提货②卖方送货</w:t>
      </w:r>
      <w:r>
        <w:rPr>
          <w:rFonts w:hint="eastAsia" w:asciiTheme="minorEastAsia" w:hAnsiTheme="minorEastAsia" w:eastAsiaTheme="minorEastAsia" w:cstheme="minorEastAsia"/>
          <w:sz w:val="24"/>
          <w:szCs w:val="24"/>
        </w:rPr>
        <w:t>。</w:t>
      </w: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备注：最终解释权归售方所有。</w:t>
      </w:r>
    </w:p>
    <w:p>
      <w:pPr>
        <w:spacing w:line="340" w:lineRule="exact"/>
        <w:rPr>
          <w:rFonts w:hint="eastAsia" w:asciiTheme="minorEastAsia" w:hAnsiTheme="minorEastAsia" w:eastAsiaTheme="minorEastAsia" w:cstheme="minorEastAsia"/>
          <w:sz w:val="24"/>
          <w:szCs w:val="24"/>
        </w:rPr>
      </w:pP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7． 电话：0398--2756853</w:t>
      </w:r>
      <w:r>
        <w:rPr>
          <w:rFonts w:hint="eastAsia" w:asciiTheme="minorEastAsia" w:hAnsiTheme="minorEastAsia" w:eastAsiaTheme="minorEastAsia" w:cstheme="minorEastAsia"/>
          <w:sz w:val="24"/>
          <w:szCs w:val="24"/>
        </w:rPr>
        <w:tab/>
      </w: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ab/>
      </w:r>
      <w:r>
        <w:rPr>
          <w:rFonts w:hint="eastAsia" w:asciiTheme="minorEastAsia" w:hAnsiTheme="minorEastAsia" w:eastAsiaTheme="minorEastAsia" w:cstheme="minorEastAsia"/>
          <w:sz w:val="24"/>
          <w:szCs w:val="24"/>
        </w:rPr>
        <w:tab/>
      </w: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附件：</w:t>
      </w:r>
      <w:r>
        <w:rPr>
          <w:rFonts w:hint="eastAsia" w:asciiTheme="minorEastAsia" w:hAnsiTheme="minorEastAsia" w:eastAsiaTheme="minorEastAsia" w:cstheme="minorEastAsia"/>
          <w:sz w:val="24"/>
          <w:szCs w:val="24"/>
          <w:lang w:eastAsia="zh-CN"/>
        </w:rPr>
        <w:t>渣选尾渣</w:t>
      </w:r>
      <w:r>
        <w:rPr>
          <w:rFonts w:hint="eastAsia" w:asciiTheme="minorEastAsia" w:hAnsiTheme="minorEastAsia" w:eastAsiaTheme="minorEastAsia" w:cstheme="minorEastAsia"/>
          <w:sz w:val="24"/>
          <w:szCs w:val="24"/>
        </w:rPr>
        <w:t>报价单</w:t>
      </w:r>
    </w:p>
    <w:p>
      <w:pPr>
        <w:spacing w:line="340" w:lineRule="exact"/>
        <w:rPr>
          <w:rFonts w:hint="eastAsia"/>
          <w:sz w:val="24"/>
        </w:rPr>
      </w:pPr>
      <w:r>
        <w:rPr>
          <w:rFonts w:hint="eastAsia"/>
          <w:sz w:val="24"/>
        </w:rPr>
        <w:t xml:space="preserve">                     </w:t>
      </w:r>
    </w:p>
    <w:p>
      <w:pPr>
        <w:spacing w:line="340" w:lineRule="exact"/>
        <w:rPr>
          <w:rFonts w:hint="eastAsia"/>
          <w:sz w:val="24"/>
        </w:rPr>
      </w:pPr>
      <w:r>
        <w:rPr>
          <w:rFonts w:hint="eastAsia"/>
          <w:sz w:val="24"/>
        </w:rPr>
        <w:t xml:space="preserve">       </w:t>
      </w:r>
    </w:p>
    <w:p>
      <w:pPr>
        <w:spacing w:line="500" w:lineRule="exact"/>
        <w:jc w:val="center"/>
        <w:rPr>
          <w:rFonts w:ascii="黑体" w:hAnsi="宋体" w:eastAsia="黑体"/>
          <w:b/>
          <w:sz w:val="30"/>
          <w:szCs w:val="30"/>
        </w:rPr>
      </w:pPr>
      <w:r>
        <w:drawing>
          <wp:anchor distT="0" distB="0" distL="114300" distR="114300" simplePos="0" relativeHeight="251663360" behindDoc="1" locked="0" layoutInCell="1" allowOverlap="1">
            <wp:simplePos x="0" y="0"/>
            <wp:positionH relativeFrom="column">
              <wp:posOffset>457200</wp:posOffset>
            </wp:positionH>
            <wp:positionV relativeFrom="paragraph">
              <wp:posOffset>-99060</wp:posOffset>
            </wp:positionV>
            <wp:extent cx="457200" cy="594360"/>
            <wp:effectExtent l="0" t="0" r="0" b="0"/>
            <wp:wrapNone/>
            <wp:docPr id="3" name="图片 2" descr="标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标识"/>
                    <pic:cNvPicPr>
                      <a:picLocks noChangeAspect="1"/>
                    </pic:cNvPicPr>
                  </pic:nvPicPr>
                  <pic:blipFill>
                    <a:blip r:embed="rId4" cstate="print"/>
                    <a:stretch>
                      <a:fillRect/>
                    </a:stretch>
                  </pic:blipFill>
                  <pic:spPr>
                    <a:xfrm>
                      <a:off x="0" y="0"/>
                      <a:ext cx="457200" cy="594360"/>
                    </a:xfrm>
                    <a:prstGeom prst="rect">
                      <a:avLst/>
                    </a:prstGeom>
                    <a:noFill/>
                    <a:ln w="9525">
                      <a:noFill/>
                    </a:ln>
                  </pic:spPr>
                </pic:pic>
              </a:graphicData>
            </a:graphic>
          </wp:anchor>
        </w:drawing>
      </w:r>
      <w:r>
        <w:rPr>
          <w:rFonts w:hint="eastAsia" w:ascii="黑体" w:hAnsi="宋体" w:eastAsia="黑体"/>
          <w:b/>
          <w:sz w:val="36"/>
          <w:szCs w:val="36"/>
        </w:rPr>
        <w:t xml:space="preserve">       </w:t>
      </w:r>
      <w:r>
        <w:rPr>
          <w:rFonts w:hint="eastAsia" w:ascii="黑体" w:hAnsi="宋体" w:eastAsia="黑体"/>
          <w:b/>
          <w:sz w:val="30"/>
          <w:szCs w:val="30"/>
        </w:rPr>
        <w:t>河南中原黄金冶炼厂有限责任公司</w:t>
      </w:r>
    </w:p>
    <w:p>
      <w:pPr>
        <w:spacing w:line="460" w:lineRule="exact"/>
        <w:rPr>
          <w:rFonts w:ascii="黑体" w:hAnsi="宋体" w:eastAsia="黑体"/>
          <w:b/>
          <w:sz w:val="30"/>
          <w:szCs w:val="30"/>
        </w:rPr>
      </w:pPr>
    </w:p>
    <w:p>
      <w:pPr>
        <w:spacing w:line="340" w:lineRule="exact"/>
        <w:ind w:firstLine="360" w:firstLineChars="200"/>
        <w:rPr>
          <w:rFonts w:ascii="楷体_GB2312" w:hAnsi="宋体" w:eastAsia="楷体_GB2312"/>
          <w:sz w:val="18"/>
          <w:szCs w:val="18"/>
        </w:rPr>
      </w:pPr>
      <w:r>
        <w:rPr>
          <w:rFonts w:hint="eastAsia" w:ascii="楷体_GB2312" w:hAnsi="宋体" w:eastAsia="楷体_GB2312"/>
          <w:sz w:val="18"/>
          <w:szCs w:val="18"/>
        </w:rPr>
        <w:t xml:space="preserve">销售部：0398-2756707（硫酸/电解铜/磁选铁粉）                     传  真：0398-2718713                    </w:t>
      </w:r>
    </w:p>
    <w:p>
      <w:pPr>
        <w:spacing w:line="340" w:lineRule="exact"/>
        <w:ind w:firstLine="360" w:firstLineChars="200"/>
        <w:rPr>
          <w:rFonts w:ascii="楷体_GB2312" w:hAnsi="宋体" w:eastAsia="楷体_GB2312"/>
          <w:sz w:val="18"/>
          <w:szCs w:val="18"/>
        </w:rPr>
      </w:pPr>
      <w:r>
        <w:rPr>
          <w:rFonts w:hint="eastAsia" w:ascii="楷体_GB2312" w:hAnsi="宋体" w:eastAsia="楷体_GB2312"/>
          <w:sz w:val="18"/>
          <w:szCs w:val="18"/>
        </w:rPr>
        <w:t>地址：中国•河南三门峡市产业集聚区209国道南侧</w:t>
      </w:r>
    </w:p>
    <w:p>
      <w:pPr>
        <w:rPr>
          <w:rFonts w:ascii="宋体" w:hAnsi="宋体" w:cs="宋体"/>
          <w:sz w:val="28"/>
          <w:szCs w:val="28"/>
        </w:rPr>
      </w:pPr>
      <w:r>
        <w:rPr>
          <w:rFonts w:hint="eastAsia"/>
          <w:sz w:val="24"/>
          <w:u w:val="single"/>
        </w:rPr>
        <w:t xml:space="preserve">                                                                    </w:t>
      </w:r>
    </w:p>
    <w:p>
      <w:pPr>
        <w:spacing w:line="340" w:lineRule="exact"/>
        <w:rPr>
          <w:rFonts w:hint="eastAsia"/>
          <w:b/>
          <w:bCs/>
          <w:sz w:val="32"/>
          <w:szCs w:val="32"/>
        </w:rPr>
      </w:pPr>
      <w:r>
        <w:rPr>
          <w:rFonts w:hint="eastAsia"/>
          <w:sz w:val="24"/>
        </w:rPr>
        <w:t xml:space="preserve">             </w:t>
      </w:r>
    </w:p>
    <w:p>
      <w:pPr>
        <w:spacing w:line="340" w:lineRule="exact"/>
        <w:rPr>
          <w:rFonts w:hint="eastAsia"/>
          <w:sz w:val="24"/>
        </w:rPr>
      </w:pPr>
      <w:r>
        <w:rPr>
          <w:rFonts w:hint="eastAsia"/>
          <w:b/>
          <w:bCs/>
          <w:sz w:val="32"/>
          <w:szCs w:val="32"/>
        </w:rPr>
        <w:t xml:space="preserve">                    </w:t>
      </w:r>
      <w:r>
        <w:rPr>
          <w:rFonts w:hint="eastAsia"/>
          <w:b/>
          <w:bCs/>
          <w:sz w:val="32"/>
          <w:szCs w:val="32"/>
          <w:lang w:eastAsia="zh-CN"/>
        </w:rPr>
        <w:t>渣选尾渣</w:t>
      </w:r>
      <w:r>
        <w:rPr>
          <w:rFonts w:hint="eastAsia"/>
          <w:b/>
          <w:bCs/>
          <w:sz w:val="32"/>
          <w:szCs w:val="32"/>
        </w:rPr>
        <w:t>报价单</w:t>
      </w:r>
      <w:r>
        <w:rPr>
          <w:rFonts w:hint="eastAsia"/>
          <w:sz w:val="24"/>
        </w:rPr>
        <w:t xml:space="preserve">                </w:t>
      </w:r>
    </w:p>
    <w:p>
      <w:pPr>
        <w:spacing w:line="340" w:lineRule="exact"/>
        <w:rPr>
          <w:rFonts w:hint="eastAsia"/>
          <w:sz w:val="24"/>
        </w:rPr>
      </w:pP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意向客户：</w:t>
      </w:r>
    </w:p>
    <w:p>
      <w:pPr>
        <w:spacing w:line="340" w:lineRule="exact"/>
        <w:rPr>
          <w:rFonts w:hint="eastAsia" w:asciiTheme="minorEastAsia" w:hAnsiTheme="minorEastAsia" w:eastAsiaTheme="minorEastAsia" w:cstheme="minorEastAsia"/>
          <w:sz w:val="24"/>
          <w:szCs w:val="24"/>
        </w:rPr>
      </w:pPr>
    </w:p>
    <w:p>
      <w:pPr>
        <w:spacing w:line="340" w:lineRule="exact"/>
        <w:rPr>
          <w:rFonts w:hint="eastAsia" w:asciiTheme="minorEastAsia" w:hAnsiTheme="minorEastAsia" w:eastAsiaTheme="minorEastAsia" w:cstheme="minorEastAsia"/>
          <w:sz w:val="24"/>
          <w:szCs w:val="24"/>
        </w:rPr>
      </w:pPr>
    </w:p>
    <w:p>
      <w:pPr>
        <w:spacing w:line="340" w:lineRule="exact"/>
        <w:rPr>
          <w:rFonts w:hint="eastAsia" w:asciiTheme="minorEastAsia" w:hAnsiTheme="minorEastAsia" w:eastAsiaTheme="minorEastAsia" w:cstheme="minorEastAsia"/>
          <w:sz w:val="24"/>
          <w:szCs w:val="24"/>
        </w:rPr>
      </w:pPr>
    </w:p>
    <w:tbl>
      <w:tblPr>
        <w:tblStyle w:val="6"/>
        <w:tblW w:w="8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7"/>
        <w:gridCol w:w="1038"/>
        <w:gridCol w:w="1183"/>
        <w:gridCol w:w="1095"/>
        <w:gridCol w:w="1166"/>
        <w:gridCol w:w="1179"/>
        <w:gridCol w:w="1230"/>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527" w:type="dxa"/>
            <w:vAlign w:val="top"/>
          </w:tcPr>
          <w:p>
            <w:pPr>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序号</w:t>
            </w:r>
          </w:p>
        </w:tc>
        <w:tc>
          <w:tcPr>
            <w:tcW w:w="1038" w:type="dxa"/>
            <w:vAlign w:val="top"/>
          </w:tcPr>
          <w:p>
            <w:pPr>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采购数量</w:t>
            </w:r>
          </w:p>
          <w:p>
            <w:pPr>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（吨/月）</w:t>
            </w:r>
          </w:p>
        </w:tc>
        <w:tc>
          <w:tcPr>
            <w:tcW w:w="1183" w:type="dxa"/>
            <w:vAlign w:val="top"/>
          </w:tcPr>
          <w:p>
            <w:pPr>
              <w:spacing w:line="340" w:lineRule="exac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出厂价</w:t>
            </w:r>
          </w:p>
          <w:p>
            <w:pPr>
              <w:spacing w:line="340" w:lineRule="exact"/>
              <w:jc w:val="both"/>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元/吨）</w:t>
            </w:r>
          </w:p>
        </w:tc>
        <w:tc>
          <w:tcPr>
            <w:tcW w:w="1095" w:type="dxa"/>
            <w:vAlign w:val="top"/>
          </w:tcPr>
          <w:p>
            <w:pPr>
              <w:spacing w:line="340" w:lineRule="exact"/>
              <w:jc w:val="center"/>
              <w:rPr>
                <w:rFonts w:hint="eastAsia" w:asciiTheme="minorEastAsia" w:hAnsiTheme="minorEastAsia" w:eastAsiaTheme="minorEastAsia" w:cstheme="minorEastAsia"/>
                <w:sz w:val="24"/>
                <w:szCs w:val="24"/>
              </w:rPr>
            </w:pPr>
          </w:p>
          <w:p>
            <w:pPr>
              <w:bidi w:val="0"/>
              <w:jc w:val="both"/>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含税运费（  元/吨）</w:t>
            </w:r>
          </w:p>
        </w:tc>
        <w:tc>
          <w:tcPr>
            <w:tcW w:w="1166" w:type="dxa"/>
            <w:vAlign w:val="top"/>
          </w:tcPr>
          <w:p>
            <w:pPr>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合计</w:t>
            </w:r>
          </w:p>
          <w:p>
            <w:pPr>
              <w:spacing w:line="340" w:lineRule="exact"/>
              <w:jc w:val="center"/>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（元）</w:t>
            </w:r>
          </w:p>
        </w:tc>
        <w:tc>
          <w:tcPr>
            <w:tcW w:w="1179" w:type="dxa"/>
            <w:vAlign w:val="top"/>
          </w:tcPr>
          <w:p>
            <w:pPr>
              <w:spacing w:line="340" w:lineRule="exact"/>
              <w:jc w:val="right"/>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lang w:eastAsia="zh-CN"/>
              </w:rPr>
              <w:t>销售区域</w:t>
            </w:r>
          </w:p>
          <w:p>
            <w:pPr>
              <w:spacing w:line="340" w:lineRule="exact"/>
              <w:jc w:val="right"/>
              <w:rPr>
                <w:rFonts w:hint="eastAsia" w:asciiTheme="minorEastAsia" w:hAnsiTheme="minorEastAsia" w:eastAsiaTheme="minorEastAsia" w:cstheme="minorEastAsia"/>
                <w:sz w:val="24"/>
                <w:szCs w:val="24"/>
                <w:lang w:eastAsia="zh-CN"/>
              </w:rPr>
            </w:pPr>
          </w:p>
        </w:tc>
        <w:tc>
          <w:tcPr>
            <w:tcW w:w="1230" w:type="dxa"/>
            <w:vAlign w:val="top"/>
          </w:tcPr>
          <w:p>
            <w:pPr>
              <w:spacing w:line="340" w:lineRule="exact"/>
              <w:jc w:val="right"/>
              <w:rPr>
                <w:rFonts w:hint="eastAsia" w:asciiTheme="minorEastAsia" w:hAnsiTheme="minorEastAsia" w:eastAsiaTheme="minorEastAsia" w:cstheme="minorEastAsia"/>
                <w:sz w:val="24"/>
                <w:szCs w:val="24"/>
                <w:lang w:eastAsia="zh-CN"/>
              </w:rPr>
            </w:pPr>
          </w:p>
          <w:p>
            <w:pPr>
              <w:bidi w:val="0"/>
              <w:jc w:val="right"/>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卸货地点</w:t>
            </w:r>
          </w:p>
        </w:tc>
        <w:tc>
          <w:tcPr>
            <w:tcW w:w="1086" w:type="dxa"/>
            <w:vAlign w:val="top"/>
          </w:tcPr>
          <w:p>
            <w:pPr>
              <w:spacing w:line="340" w:lineRule="exac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仓储能力</w:t>
            </w:r>
          </w:p>
          <w:p>
            <w:pPr>
              <w:spacing w:line="340" w:lineRule="exact"/>
              <w:jc w:val="center"/>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lang w:val="en-US" w:eastAsia="zh-CN"/>
              </w:rPr>
              <w:t xml:space="preserve">   万吨</w:t>
            </w:r>
            <w:r>
              <w:rPr>
                <w:rFonts w:hint="eastAsia" w:asciiTheme="minorEastAsia" w:hAnsiTheme="minorEastAsia" w:eastAsiaTheme="minorEastAsia" w:cstheme="minorEastAsia"/>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527" w:type="dxa"/>
          </w:tcPr>
          <w:p>
            <w:pPr>
              <w:spacing w:line="340" w:lineRule="exact"/>
              <w:jc w:val="center"/>
              <w:rPr>
                <w:rFonts w:hint="eastAsia" w:asciiTheme="minorEastAsia" w:hAnsiTheme="minorEastAsia" w:eastAsiaTheme="minorEastAsia" w:cstheme="minorEastAsia"/>
                <w:sz w:val="24"/>
                <w:szCs w:val="24"/>
              </w:rPr>
            </w:pPr>
          </w:p>
        </w:tc>
        <w:tc>
          <w:tcPr>
            <w:tcW w:w="1038" w:type="dxa"/>
            <w:vAlign w:val="top"/>
          </w:tcPr>
          <w:p>
            <w:pPr>
              <w:spacing w:line="340" w:lineRule="exact"/>
              <w:jc w:val="center"/>
              <w:rPr>
                <w:rFonts w:hint="eastAsia" w:asciiTheme="minorEastAsia" w:hAnsiTheme="minorEastAsia" w:eastAsiaTheme="minorEastAsia" w:cstheme="minorEastAsia"/>
                <w:sz w:val="24"/>
                <w:szCs w:val="24"/>
              </w:rPr>
            </w:pPr>
          </w:p>
        </w:tc>
        <w:tc>
          <w:tcPr>
            <w:tcW w:w="1183" w:type="dxa"/>
            <w:vAlign w:val="top"/>
          </w:tcPr>
          <w:p>
            <w:pPr>
              <w:spacing w:line="340" w:lineRule="exact"/>
              <w:jc w:val="center"/>
              <w:rPr>
                <w:rFonts w:hint="eastAsia" w:asciiTheme="minorEastAsia" w:hAnsiTheme="minorEastAsia" w:eastAsiaTheme="minorEastAsia" w:cstheme="minorEastAsia"/>
                <w:sz w:val="24"/>
                <w:szCs w:val="24"/>
              </w:rPr>
            </w:pPr>
          </w:p>
        </w:tc>
        <w:tc>
          <w:tcPr>
            <w:tcW w:w="1095" w:type="dxa"/>
            <w:vAlign w:val="top"/>
          </w:tcPr>
          <w:p>
            <w:pPr>
              <w:spacing w:line="340" w:lineRule="exact"/>
              <w:jc w:val="center"/>
              <w:rPr>
                <w:rFonts w:hint="eastAsia" w:asciiTheme="minorEastAsia" w:hAnsiTheme="minorEastAsia" w:eastAsiaTheme="minorEastAsia" w:cstheme="minorEastAsia"/>
                <w:sz w:val="24"/>
                <w:szCs w:val="24"/>
              </w:rPr>
            </w:pPr>
          </w:p>
        </w:tc>
        <w:tc>
          <w:tcPr>
            <w:tcW w:w="1166" w:type="dxa"/>
            <w:vAlign w:val="top"/>
          </w:tcPr>
          <w:p>
            <w:pPr>
              <w:spacing w:line="340" w:lineRule="exact"/>
              <w:jc w:val="center"/>
              <w:rPr>
                <w:rFonts w:hint="eastAsia" w:asciiTheme="minorEastAsia" w:hAnsiTheme="minorEastAsia" w:eastAsiaTheme="minorEastAsia" w:cstheme="minorEastAsia"/>
                <w:sz w:val="24"/>
                <w:szCs w:val="24"/>
              </w:rPr>
            </w:pPr>
          </w:p>
        </w:tc>
        <w:tc>
          <w:tcPr>
            <w:tcW w:w="1179" w:type="dxa"/>
            <w:vAlign w:val="top"/>
          </w:tcPr>
          <w:p>
            <w:pPr>
              <w:spacing w:line="340" w:lineRule="exact"/>
              <w:jc w:val="center"/>
              <w:rPr>
                <w:rFonts w:hint="eastAsia" w:asciiTheme="minorEastAsia" w:hAnsiTheme="minorEastAsia" w:eastAsiaTheme="minorEastAsia" w:cstheme="minorEastAsia"/>
                <w:sz w:val="24"/>
                <w:szCs w:val="24"/>
              </w:rPr>
            </w:pPr>
          </w:p>
        </w:tc>
        <w:tc>
          <w:tcPr>
            <w:tcW w:w="1230" w:type="dxa"/>
            <w:vAlign w:val="top"/>
          </w:tcPr>
          <w:p>
            <w:pPr>
              <w:spacing w:line="340" w:lineRule="exact"/>
              <w:jc w:val="center"/>
              <w:rPr>
                <w:rFonts w:hint="eastAsia" w:asciiTheme="minorEastAsia" w:hAnsiTheme="minorEastAsia" w:eastAsiaTheme="minorEastAsia" w:cstheme="minorEastAsia"/>
                <w:sz w:val="24"/>
                <w:szCs w:val="24"/>
              </w:rPr>
            </w:pPr>
          </w:p>
        </w:tc>
        <w:tc>
          <w:tcPr>
            <w:tcW w:w="1086" w:type="dxa"/>
            <w:vAlign w:val="top"/>
          </w:tcPr>
          <w:p>
            <w:pPr>
              <w:spacing w:line="340" w:lineRule="exact"/>
              <w:jc w:val="center"/>
              <w:rPr>
                <w:rFonts w:hint="eastAsia" w:asciiTheme="minorEastAsia" w:hAnsiTheme="minorEastAsia" w:eastAsiaTheme="minorEastAsia" w:cstheme="minorEastAsia"/>
                <w:sz w:val="24"/>
                <w:szCs w:val="24"/>
              </w:rPr>
            </w:pPr>
          </w:p>
        </w:tc>
      </w:tr>
    </w:tbl>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备注；客户</w:t>
      </w:r>
      <w:r>
        <w:rPr>
          <w:rFonts w:hint="eastAsia" w:asciiTheme="minorEastAsia" w:hAnsiTheme="minorEastAsia" w:eastAsiaTheme="minorEastAsia" w:cstheme="minorEastAsia"/>
          <w:sz w:val="24"/>
          <w:szCs w:val="24"/>
          <w:lang w:eastAsia="zh-CN"/>
        </w:rPr>
        <w:t>可以</w:t>
      </w:r>
      <w:r>
        <w:rPr>
          <w:rFonts w:hint="eastAsia" w:asciiTheme="minorEastAsia" w:hAnsiTheme="minorEastAsia" w:eastAsiaTheme="minorEastAsia" w:cstheme="minorEastAsia"/>
          <w:sz w:val="24"/>
          <w:szCs w:val="24"/>
          <w:lang w:val="en-US" w:eastAsia="zh-CN"/>
        </w:rPr>
        <w:t>根据规定</w:t>
      </w:r>
      <w:r>
        <w:rPr>
          <w:rFonts w:hint="eastAsia" w:asciiTheme="minorEastAsia" w:hAnsiTheme="minorEastAsia" w:eastAsiaTheme="minorEastAsia" w:cstheme="minorEastAsia"/>
          <w:sz w:val="24"/>
          <w:szCs w:val="24"/>
          <w:lang w:eastAsia="zh-CN"/>
        </w:rPr>
        <w:t>区域销售。</w:t>
      </w: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340" w:lineRule="exact"/>
        <w:rPr>
          <w:rFonts w:hint="eastAsia" w:asciiTheme="minorEastAsia" w:hAnsiTheme="minorEastAsia" w:eastAsiaTheme="minorEastAsia" w:cstheme="minorEastAsia"/>
          <w:sz w:val="24"/>
          <w:szCs w:val="24"/>
        </w:rPr>
      </w:pP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报价单位全称(盖章)：</w:t>
      </w:r>
    </w:p>
    <w:p>
      <w:pPr>
        <w:spacing w:line="340" w:lineRule="exact"/>
        <w:rPr>
          <w:rFonts w:hint="eastAsia" w:asciiTheme="minorEastAsia" w:hAnsiTheme="minorEastAsia" w:eastAsiaTheme="minorEastAsia" w:cstheme="minorEastAsia"/>
          <w:sz w:val="24"/>
          <w:szCs w:val="24"/>
        </w:rPr>
      </w:pP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联系人：                                联系电话：</w:t>
      </w: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                           </w:t>
      </w:r>
    </w:p>
    <w:p>
      <w:pPr>
        <w:spacing w:line="340" w:lineRule="exact"/>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电子邮箱：                              报价时间：</w:t>
      </w:r>
    </w:p>
    <w:p>
      <w:pPr>
        <w:ind w:firstLine="6160" w:firstLineChars="2200"/>
        <w:rPr>
          <w:rFonts w:asciiTheme="minorEastAsia" w:hAnsiTheme="minorEastAsia"/>
          <w:sz w:val="28"/>
          <w:szCs w:val="28"/>
        </w:rPr>
      </w:pPr>
    </w:p>
    <w:p>
      <w:pPr>
        <w:rPr>
          <w:rFonts w:hint="eastAsia"/>
          <w:b/>
          <w:color w:val="FF0000"/>
          <w:sz w:val="72"/>
          <w:szCs w:val="72"/>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swiss"/>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87D7F"/>
    <w:multiLevelType w:val="singleLevel"/>
    <w:tmpl w:val="5E687D7F"/>
    <w:lvl w:ilvl="0" w:tentative="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15106"/>
    <w:rsid w:val="000A741C"/>
    <w:rsid w:val="000C53F7"/>
    <w:rsid w:val="000F5BA4"/>
    <w:rsid w:val="00110512"/>
    <w:rsid w:val="001204FB"/>
    <w:rsid w:val="00133158"/>
    <w:rsid w:val="00147D1E"/>
    <w:rsid w:val="00192BAD"/>
    <w:rsid w:val="001A30B0"/>
    <w:rsid w:val="001B1D36"/>
    <w:rsid w:val="002010E4"/>
    <w:rsid w:val="00226FDA"/>
    <w:rsid w:val="00235BB5"/>
    <w:rsid w:val="002A6CB5"/>
    <w:rsid w:val="002B5E0E"/>
    <w:rsid w:val="002F5ECE"/>
    <w:rsid w:val="00335E2D"/>
    <w:rsid w:val="00380FC4"/>
    <w:rsid w:val="00382853"/>
    <w:rsid w:val="00383270"/>
    <w:rsid w:val="003A7353"/>
    <w:rsid w:val="003F4DF6"/>
    <w:rsid w:val="004953B3"/>
    <w:rsid w:val="004A6E13"/>
    <w:rsid w:val="004A7FDE"/>
    <w:rsid w:val="004B6E08"/>
    <w:rsid w:val="004C72B7"/>
    <w:rsid w:val="005105BD"/>
    <w:rsid w:val="005F0520"/>
    <w:rsid w:val="00614786"/>
    <w:rsid w:val="00656814"/>
    <w:rsid w:val="006B483A"/>
    <w:rsid w:val="0077780B"/>
    <w:rsid w:val="0079629B"/>
    <w:rsid w:val="00797AC3"/>
    <w:rsid w:val="00815E3A"/>
    <w:rsid w:val="00862164"/>
    <w:rsid w:val="008A586C"/>
    <w:rsid w:val="008C6575"/>
    <w:rsid w:val="008E7D47"/>
    <w:rsid w:val="00902A44"/>
    <w:rsid w:val="009675B2"/>
    <w:rsid w:val="009A2943"/>
    <w:rsid w:val="00A65ADA"/>
    <w:rsid w:val="00A70C65"/>
    <w:rsid w:val="00A80062"/>
    <w:rsid w:val="00AB0282"/>
    <w:rsid w:val="00B15106"/>
    <w:rsid w:val="00B456D1"/>
    <w:rsid w:val="00B47355"/>
    <w:rsid w:val="00BA2C60"/>
    <w:rsid w:val="00BB3304"/>
    <w:rsid w:val="00BD3F41"/>
    <w:rsid w:val="00BE1DF0"/>
    <w:rsid w:val="00C16C08"/>
    <w:rsid w:val="00C27C4A"/>
    <w:rsid w:val="00C34E09"/>
    <w:rsid w:val="00CE76C8"/>
    <w:rsid w:val="00CF53C0"/>
    <w:rsid w:val="00D3745B"/>
    <w:rsid w:val="00D65FB2"/>
    <w:rsid w:val="00D7103C"/>
    <w:rsid w:val="00D72EF7"/>
    <w:rsid w:val="00D77E2A"/>
    <w:rsid w:val="00DC39F8"/>
    <w:rsid w:val="00DF2A91"/>
    <w:rsid w:val="00E318E4"/>
    <w:rsid w:val="00EB5042"/>
    <w:rsid w:val="00F163D9"/>
    <w:rsid w:val="00F22506"/>
    <w:rsid w:val="00F230D6"/>
    <w:rsid w:val="00F23F9C"/>
    <w:rsid w:val="00F93B0C"/>
    <w:rsid w:val="01D65D82"/>
    <w:rsid w:val="022B7CD9"/>
    <w:rsid w:val="02616639"/>
    <w:rsid w:val="03914CC8"/>
    <w:rsid w:val="0482778D"/>
    <w:rsid w:val="05FF3DC7"/>
    <w:rsid w:val="099D7C85"/>
    <w:rsid w:val="0A507531"/>
    <w:rsid w:val="0E1A142A"/>
    <w:rsid w:val="10796A4E"/>
    <w:rsid w:val="12FF5A89"/>
    <w:rsid w:val="186A040B"/>
    <w:rsid w:val="18704B31"/>
    <w:rsid w:val="18B02D68"/>
    <w:rsid w:val="1948255E"/>
    <w:rsid w:val="197A0E33"/>
    <w:rsid w:val="1F774967"/>
    <w:rsid w:val="20C176A4"/>
    <w:rsid w:val="22B73BE3"/>
    <w:rsid w:val="230B3C09"/>
    <w:rsid w:val="239A641C"/>
    <w:rsid w:val="239E37B1"/>
    <w:rsid w:val="255F5ABD"/>
    <w:rsid w:val="25A6232B"/>
    <w:rsid w:val="26E04217"/>
    <w:rsid w:val="273536E6"/>
    <w:rsid w:val="27D53112"/>
    <w:rsid w:val="27F52DBA"/>
    <w:rsid w:val="28A362F5"/>
    <w:rsid w:val="28B1104C"/>
    <w:rsid w:val="29C8356B"/>
    <w:rsid w:val="2A31055A"/>
    <w:rsid w:val="30B45A20"/>
    <w:rsid w:val="32242AD2"/>
    <w:rsid w:val="33FE01BE"/>
    <w:rsid w:val="34BE2DE5"/>
    <w:rsid w:val="3549472F"/>
    <w:rsid w:val="364F4A5C"/>
    <w:rsid w:val="3A1D30AB"/>
    <w:rsid w:val="3A334781"/>
    <w:rsid w:val="3A701DB6"/>
    <w:rsid w:val="3D704A2C"/>
    <w:rsid w:val="3DD9011D"/>
    <w:rsid w:val="41363562"/>
    <w:rsid w:val="42A471FE"/>
    <w:rsid w:val="42D81321"/>
    <w:rsid w:val="438C42A3"/>
    <w:rsid w:val="446D3552"/>
    <w:rsid w:val="44A97134"/>
    <w:rsid w:val="4919676E"/>
    <w:rsid w:val="49265E97"/>
    <w:rsid w:val="4B171374"/>
    <w:rsid w:val="4E6A1E03"/>
    <w:rsid w:val="4E9C1007"/>
    <w:rsid w:val="4F4E74AE"/>
    <w:rsid w:val="4FD856C3"/>
    <w:rsid w:val="50434C0D"/>
    <w:rsid w:val="526374A1"/>
    <w:rsid w:val="52665266"/>
    <w:rsid w:val="530B4BAD"/>
    <w:rsid w:val="54F3372A"/>
    <w:rsid w:val="55632788"/>
    <w:rsid w:val="5602124B"/>
    <w:rsid w:val="56853524"/>
    <w:rsid w:val="584A0AB3"/>
    <w:rsid w:val="591C3ADD"/>
    <w:rsid w:val="5A4056A2"/>
    <w:rsid w:val="5AD578E8"/>
    <w:rsid w:val="5E96002D"/>
    <w:rsid w:val="5F24701E"/>
    <w:rsid w:val="600A5669"/>
    <w:rsid w:val="61D175C9"/>
    <w:rsid w:val="62742DCC"/>
    <w:rsid w:val="63B41116"/>
    <w:rsid w:val="644B2AE7"/>
    <w:rsid w:val="64CC74AB"/>
    <w:rsid w:val="658D57E7"/>
    <w:rsid w:val="665C2601"/>
    <w:rsid w:val="668C2892"/>
    <w:rsid w:val="6A3D1091"/>
    <w:rsid w:val="6A850AA5"/>
    <w:rsid w:val="6B672549"/>
    <w:rsid w:val="6BDF4CCB"/>
    <w:rsid w:val="6CF017AB"/>
    <w:rsid w:val="6F1004E2"/>
    <w:rsid w:val="6F1A2161"/>
    <w:rsid w:val="6FB043E9"/>
    <w:rsid w:val="70670B11"/>
    <w:rsid w:val="70A751E2"/>
    <w:rsid w:val="71780379"/>
    <w:rsid w:val="719F0357"/>
    <w:rsid w:val="74AA53D6"/>
    <w:rsid w:val="760B2C84"/>
    <w:rsid w:val="794E60D3"/>
    <w:rsid w:val="7C8810C4"/>
    <w:rsid w:val="7CD82BD7"/>
    <w:rsid w:val="7D1C1310"/>
    <w:rsid w:val="7D1D6BF1"/>
    <w:rsid w:val="7DE352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2"/>
    <w:unhideWhenUsed/>
    <w:qFormat/>
    <w:uiPriority w:val="99"/>
    <w:pPr>
      <w:ind w:left="100" w:leftChars="2500"/>
    </w:p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basedOn w:val="7"/>
    <w:qFormat/>
    <w:uiPriority w:val="22"/>
    <w:rPr>
      <w:b/>
    </w:rPr>
  </w:style>
  <w:style w:type="character" w:styleId="9">
    <w:name w:val="Hyperlink"/>
    <w:basedOn w:val="7"/>
    <w:qFormat/>
    <w:uiPriority w:val="0"/>
    <w:rPr>
      <w:color w:val="0000FF"/>
      <w:u w:val="single"/>
    </w:rPr>
  </w:style>
  <w:style w:type="character" w:customStyle="1" w:styleId="10">
    <w:name w:val="页眉 Char"/>
    <w:basedOn w:val="7"/>
    <w:link w:val="4"/>
    <w:semiHidden/>
    <w:qFormat/>
    <w:uiPriority w:val="99"/>
    <w:rPr>
      <w:sz w:val="18"/>
      <w:szCs w:val="18"/>
    </w:rPr>
  </w:style>
  <w:style w:type="character" w:customStyle="1" w:styleId="11">
    <w:name w:val="页脚 Char"/>
    <w:basedOn w:val="7"/>
    <w:link w:val="3"/>
    <w:semiHidden/>
    <w:qFormat/>
    <w:uiPriority w:val="99"/>
    <w:rPr>
      <w:sz w:val="18"/>
      <w:szCs w:val="18"/>
    </w:rPr>
  </w:style>
  <w:style w:type="character" w:customStyle="1" w:styleId="12">
    <w:name w:val="日期 Char"/>
    <w:basedOn w:val="7"/>
    <w:link w:val="2"/>
    <w:semiHidden/>
    <w:qFormat/>
    <w:uiPriority w:val="99"/>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339</Words>
  <Characters>1937</Characters>
  <Lines>16</Lines>
  <Paragraphs>4</Paragraphs>
  <TotalTime>20</TotalTime>
  <ScaleCrop>false</ScaleCrop>
  <LinksUpToDate>false</LinksUpToDate>
  <CharactersWithSpaces>2272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2020-09-07T00:19:00Z</dcterms:created>
  <dc:creator>Administrator</dc:creator>
  <cp:lastModifiedBy>…………</cp:lastModifiedBy>
  <cp:lastPrinted>2020-09-07T00:20:00Z</cp:lastPrinted>
  <dcterms:modified xsi:type="dcterms:W3CDTF">2021-03-03T02:31:10Z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