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2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8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default" w:ascii="宋体" w:hAnsi="宋体" w:cs="宋体"/>
          <w:b/>
          <w:bCs/>
          <w:sz w:val="21"/>
          <w:szCs w:val="21"/>
          <w:u w:val="single"/>
          <w:lang w:eastAsia="zh-CN"/>
          <w:woUserID w:val="1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开户银行：河南省三门峡市工行三门峡分行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行号：102505002293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84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汉仪楷体KW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5C51EB"/>
    <w:rsid w:val="00FF3F3C"/>
    <w:rsid w:val="02320327"/>
    <w:rsid w:val="0264031A"/>
    <w:rsid w:val="032121AE"/>
    <w:rsid w:val="03820F4E"/>
    <w:rsid w:val="062D43AF"/>
    <w:rsid w:val="07AD7777"/>
    <w:rsid w:val="095B7DEA"/>
    <w:rsid w:val="0E33415C"/>
    <w:rsid w:val="0F1F09F0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E692A33"/>
    <w:rsid w:val="1F6D3514"/>
    <w:rsid w:val="21192CC0"/>
    <w:rsid w:val="2346281D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E0B124B"/>
    <w:rsid w:val="4F252466"/>
    <w:rsid w:val="4F736D6F"/>
    <w:rsid w:val="528C0224"/>
    <w:rsid w:val="565F2EE7"/>
    <w:rsid w:val="5B9318BC"/>
    <w:rsid w:val="5C1F6E31"/>
    <w:rsid w:val="5C28311F"/>
    <w:rsid w:val="5D0967BD"/>
    <w:rsid w:val="601F5A12"/>
    <w:rsid w:val="63645114"/>
    <w:rsid w:val="642207D6"/>
    <w:rsid w:val="64E65F95"/>
    <w:rsid w:val="653D69A4"/>
    <w:rsid w:val="65AC4F93"/>
    <w:rsid w:val="67EF4B83"/>
    <w:rsid w:val="6870276A"/>
    <w:rsid w:val="694263CB"/>
    <w:rsid w:val="6A890B41"/>
    <w:rsid w:val="6B7B6AB9"/>
    <w:rsid w:val="7110556A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977F4DC1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807</Words>
  <Characters>953</Characters>
  <Lines>10</Lines>
  <Paragraphs>2</Paragraphs>
  <TotalTime>140</TotalTime>
  <ScaleCrop>false</ScaleCrop>
  <LinksUpToDate>false</LinksUpToDate>
  <CharactersWithSpaces>1333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2019-12-10T21:14:00Z</dcterms:created>
  <dc:creator>Administrator</dc:creator>
  <cp:lastModifiedBy>赵洪芳</cp:lastModifiedBy>
  <cp:lastPrinted>2019-12-10T22:29:00Z</cp:lastPrinted>
  <dcterms:modified xsi:type="dcterms:W3CDTF">2022-06-17T13:23:36Z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2B9EC440F3DE4DA4A457F947E4F7CF95</vt:lpwstr>
  </property>
</Properties>
</file>