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1.谈判项目编号：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2.项目名称：河南中原黄金冶炼厂有限责任公司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危废渣资源化升级改造项目定量给料机采购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3.业务管理部门: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工程部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spacing w:after="100" w:line="360" w:lineRule="auto"/>
        <w:ind w:firstLine="482" w:firstLineChars="200"/>
        <w:outlineLvl w:val="1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①</w:t>
      </w:r>
      <w:r>
        <w:rPr>
          <w:rFonts w:hint="eastAsia" w:ascii="宋体" w:hAnsi="宋体"/>
          <w:b/>
          <w:color w:val="auto"/>
          <w:sz w:val="24"/>
        </w:rPr>
        <w:t>供货范围：投标方应成套供应如下设备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50"/>
        <w:gridCol w:w="2036"/>
        <w:gridCol w:w="951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int="eastAsia" w:hAnsi="宋体"/>
                <w:b/>
                <w:caps/>
                <w:sz w:val="24"/>
              </w:rPr>
              <w:t>序号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int="eastAsia" w:hAnsi="宋体"/>
                <w:b/>
                <w:caps/>
                <w:sz w:val="24"/>
              </w:rPr>
              <w:t>货物名称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int="eastAsia" w:hAnsi="宋体"/>
                <w:b/>
                <w:caps/>
                <w:sz w:val="24"/>
              </w:rPr>
              <w:t>规格型号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宋体" w:cs="黑体"/>
                <w:b/>
                <w:caps/>
                <w:sz w:val="24"/>
                <w:szCs w:val="22"/>
              </w:rPr>
            </w:pPr>
            <w:r>
              <w:rPr>
                <w:rFonts w:hint="eastAsia" w:hAnsi="宋体"/>
                <w:b/>
                <w:caps/>
                <w:sz w:val="24"/>
              </w:rPr>
              <w:t>数量</w:t>
            </w:r>
          </w:p>
        </w:tc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宋体" w:cs="黑体"/>
                <w:b/>
                <w:caps/>
                <w:sz w:val="24"/>
                <w:szCs w:val="22"/>
              </w:rPr>
            </w:pPr>
            <w:r>
              <w:rPr>
                <w:rFonts w:hint="eastAsia" w:hAnsi="宋体"/>
                <w:b/>
                <w:cap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黑体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黑体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 w:hAnsi="宋体" w:cs="黑体"/>
                <w:sz w:val="24"/>
                <w:szCs w:val="22"/>
                <w:lang w:val="en-US" w:eastAsia="zh-CN"/>
              </w:rPr>
              <w:t>定量给料机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DEL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18" w:lineRule="auto"/>
              <w:ind w:left="144"/>
              <w:rPr>
                <w:rFonts w:hint="default" w:ascii="Calibri" w:hAnsi="Calibri" w:eastAsia="宋体"/>
                <w:sz w:val="24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定量给料机成套，包括但不限于：受料斗、配料输送机架、称重秤架、数字转换器、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称重传感器、</w:t>
      </w:r>
      <w:r>
        <w:rPr>
          <w:rFonts w:hint="eastAsia" w:ascii="仿宋" w:hAnsi="仿宋" w:eastAsia="仿宋" w:cs="仿宋"/>
          <w:sz w:val="28"/>
          <w:szCs w:val="28"/>
        </w:rPr>
        <w:t>错误诊断和测试系统、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标定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砝码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（共用</w:t>
      </w:r>
      <w:r>
        <w:rPr>
          <w:rFonts w:hint="eastAsia" w:ascii="仿宋" w:hAnsi="仿宋" w:eastAsia="仿宋" w:cs="仿宋"/>
          <w:spacing w:val="-47"/>
          <w:sz w:val="28"/>
          <w:szCs w:val="28"/>
          <w:lang w:val="en-US" w:eastAsia="zh-CN"/>
        </w:rPr>
        <w:t>1套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测速传感器、控制器（带通讯功能）、变频器、电机、</w:t>
      </w:r>
      <w:r>
        <w:rPr>
          <w:rFonts w:hint="eastAsia" w:ascii="仿宋" w:hAnsi="仿宋" w:eastAsia="仿宋" w:cs="仿宋"/>
          <w:spacing w:val="-1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减速机、屏蔽电缆、环行裙边皮带、仪表盘、头部卸料罩（预留通风孔、清理口）、安装</w:t>
      </w:r>
      <w:r>
        <w:rPr>
          <w:rFonts w:hint="eastAsia" w:ascii="仿宋" w:hAnsi="仿宋" w:eastAsia="仿宋" w:cs="仿宋"/>
          <w:spacing w:val="-9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辅材等。含随设备本身的易损件及备品备件等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注：所有进出口配对法兰、垫片及紧固件。</w:t>
      </w:r>
    </w:p>
    <w:p>
      <w:pPr>
        <w:spacing w:line="360" w:lineRule="auto"/>
        <w:ind w:firstLine="482" w:firstLineChars="200"/>
        <w:outlineLvl w:val="1"/>
        <w:rPr>
          <w:b/>
          <w:bCs w:val="0"/>
          <w:color w:val="000000"/>
          <w:sz w:val="24"/>
        </w:rPr>
      </w:pPr>
      <w:r>
        <w:rPr>
          <w:rFonts w:hint="eastAsia"/>
          <w:b/>
          <w:bCs w:val="0"/>
          <w:color w:val="000000"/>
          <w:sz w:val="24"/>
          <w:lang w:val="en-US" w:eastAsia="zh-CN"/>
        </w:rPr>
        <w:t>②</w:t>
      </w:r>
      <w:r>
        <w:rPr>
          <w:rFonts w:hint="eastAsia"/>
          <w:b/>
          <w:bCs w:val="0"/>
          <w:color w:val="000000"/>
          <w:sz w:val="24"/>
        </w:rPr>
        <w:t xml:space="preserve"> </w:t>
      </w:r>
      <w:r>
        <w:rPr>
          <w:rFonts w:hint="eastAsia" w:hAnsi="宋体"/>
          <w:b/>
          <w:bCs w:val="0"/>
          <w:color w:val="000000"/>
          <w:sz w:val="24"/>
        </w:rPr>
        <w:t>技术要求</w:t>
      </w:r>
    </w:p>
    <w:tbl>
      <w:tblPr>
        <w:tblStyle w:val="4"/>
        <w:tblW w:w="503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729"/>
        <w:gridCol w:w="1849"/>
        <w:gridCol w:w="1844"/>
        <w:gridCol w:w="1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位号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E311-002-03A~B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E311-002-04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E311-002-05A~B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left="14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E311-002-06A~B</w:t>
            </w:r>
          </w:p>
        </w:tc>
      </w:tr>
      <w:tr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</w:tr>
      <w:tr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输送物料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铅物料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left="4" w:right="0"/>
              <w:jc w:val="center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兰炭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铜物料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0"/>
              <w:jc w:val="center"/>
              <w:rPr>
                <w:rFonts w:ascii="Times New Roman"/>
                <w:sz w:val="21"/>
                <w:szCs w:val="21"/>
              </w:rPr>
            </w:pPr>
            <w:r>
              <w:t>熔剂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物料性质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含水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15%</w:t>
            </w:r>
            <w:r>
              <w:rPr>
                <w:rFonts w:ascii="宋体" w:hAnsi="宋体" w:eastAsia="宋体" w:cs="宋体"/>
                <w:sz w:val="21"/>
                <w:szCs w:val="21"/>
              </w:rPr>
              <w:t>，酸性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left="4" w:right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含水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15%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物料密度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1.8</w:t>
            </w:r>
            <w:r>
              <w:rPr>
                <w:rFonts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2.0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t/m</w:t>
            </w:r>
            <w:r>
              <w:rPr>
                <w:rFonts w:hint="eastAsia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left="4" w:right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0.8</w:t>
            </w:r>
            <w:r>
              <w:rPr>
                <w:rFonts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1.0t/m</w:t>
            </w:r>
            <w:r>
              <w:rPr>
                <w:rFonts w:hint="eastAsia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1.8</w:t>
            </w:r>
            <w:r>
              <w:rPr>
                <w:rFonts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2.0t/m</w:t>
            </w:r>
            <w:r>
              <w:rPr>
                <w:rFonts w:hint="eastAsia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</w:rPr>
              <w:t>1.6</w:t>
            </w:r>
            <w:r>
              <w:t>～</w:t>
            </w:r>
            <w:r>
              <w:rPr>
                <w:rFonts w:hint="eastAsia"/>
                <w:lang w:val="en-US" w:eastAsia="zh-CN"/>
              </w:rPr>
              <w:t xml:space="preserve">1.8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t/m</w:t>
            </w:r>
            <w:r>
              <w:rPr>
                <w:rFonts w:hint="eastAsia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w w:val="99"/>
                <w:position w:val="9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物料温度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常温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45" w:line="240" w:lineRule="auto"/>
              <w:ind w:left="4" w:right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常温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常温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45" w:line="240" w:lineRule="auto"/>
              <w:ind w:right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常温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工作制度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连续工作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连续工作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连续工作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初选型号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DEL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DEL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DEL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DEL</w:t>
            </w:r>
          </w:p>
        </w:tc>
      </w:tr>
      <w:tr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输送带宽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800mm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0mm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800mm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头尾轮间距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00mm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left="4" w:right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00mm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00mm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left="4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00mm</w:t>
            </w:r>
          </w:p>
        </w:tc>
      </w:tr>
      <w:tr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进出料口中心距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3095mm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left="4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3095mm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right="1" w:rightChars="0"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3095mm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5" w:line="240" w:lineRule="auto"/>
              <w:ind w:left="4" w:leftChars="0" w:right="0" w:rightChars="0"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3095mm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进料口尺寸</w:t>
            </w:r>
            <w:r>
              <w:rPr>
                <w:rFonts w:ascii="宋体" w:hAnsi="宋体" w:eastAsia="宋体" w:cs="宋体"/>
                <w:spacing w:val="-111"/>
                <w:sz w:val="21"/>
                <w:szCs w:val="21"/>
              </w:rPr>
              <w:t>、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600</w:t>
            </w:r>
            <w:r>
              <w:rPr>
                <w:rFonts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900mm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450</w:t>
            </w:r>
            <w:r>
              <w:rPr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900mm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0" w:rightChars="0"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600</w:t>
            </w:r>
            <w:r>
              <w:rPr>
                <w:rFonts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900mm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0" w:rightChars="0"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450</w:t>
            </w:r>
            <w:r>
              <w:rPr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900mm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出料口尺寸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9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400</w:t>
            </w:r>
            <w:r>
              <w:rPr>
                <w:rFonts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900mm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2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400</w:t>
            </w:r>
            <w:r>
              <w:rPr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700mm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9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400</w:t>
            </w:r>
            <w:r>
              <w:rPr>
                <w:rFonts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900mm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2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400</w:t>
            </w:r>
            <w:r>
              <w:rPr>
                <w:sz w:val="21"/>
                <w:szCs w:val="21"/>
              </w:rPr>
              <w:t>×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正常给料量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t/h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t/h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t/h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4" w:line="240" w:lineRule="auto"/>
              <w:ind w:right="2" w:rightChars="0"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t/h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7" w:lineRule="exact"/>
              <w:ind w:left="10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计量范围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9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0~40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t/h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9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0~4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t/h</w:t>
            </w:r>
            <w:r>
              <w:rPr>
                <w:rFonts w:ascii="Times New Roman" w:hAnsi="Times New Roman" w:eastAsia="Times New Roman" w:cs="Times New Roman"/>
                <w:spacing w:val="-56"/>
                <w:sz w:val="21"/>
                <w:szCs w:val="21"/>
              </w:rPr>
              <w:t xml:space="preserve"> 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9" w:line="240" w:lineRule="auto"/>
              <w:ind w:right="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</w:rPr>
              <w:t>0~20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t/h</w:t>
            </w:r>
            <w:r>
              <w:rPr>
                <w:rFonts w:ascii="Times New Roman" w:hAnsi="Times New Roman" w:eastAsia="Times New Roman" w:cs="Times New Roman"/>
                <w:spacing w:val="-56"/>
              </w:rPr>
              <w:t xml:space="preserve"> 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9" w:line="240" w:lineRule="auto"/>
              <w:ind w:right="2" w:rightChars="0"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0~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t/h</w:t>
            </w:r>
            <w:r>
              <w:rPr>
                <w:rFonts w:ascii="Times New Roman" w:hAnsi="Times New Roman" w:eastAsia="Times New Roman" w:cs="Times New Roman"/>
                <w:spacing w:val="-56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受料斗形式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2" w:rightChars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2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T4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1" w:lineRule="exact"/>
              <w:ind w:right="2" w:rightChars="0"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3" w:lineRule="exact"/>
              <w:ind w:left="10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给料机功率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61" w:lineRule="auto"/>
              <w:ind w:left="100" w:right="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2.2kW</w:t>
            </w:r>
            <w:r>
              <w:rPr>
                <w:rFonts w:ascii="宋体" w:hAnsi="宋体" w:eastAsia="宋体" w:cs="宋体"/>
                <w:sz w:val="21"/>
                <w:szCs w:val="21"/>
              </w:rPr>
              <w:t>（以厂家提供功率为准）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61" w:lineRule="auto"/>
              <w:ind w:left="100" w:leftChars="0" w:right="60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kW</w:t>
            </w:r>
            <w:r>
              <w:rPr>
                <w:rFonts w:ascii="宋体" w:hAnsi="宋体" w:eastAsia="宋体" w:cs="宋体"/>
                <w:sz w:val="21"/>
                <w:szCs w:val="21"/>
              </w:rPr>
              <w:t>（以厂家提供功率为准）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61" w:lineRule="auto"/>
              <w:ind w:left="100" w:leftChars="0" w:right="60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2.2kW</w:t>
            </w:r>
            <w:r>
              <w:rPr>
                <w:rFonts w:ascii="宋体" w:hAnsi="宋体" w:eastAsia="宋体" w:cs="宋体"/>
                <w:sz w:val="21"/>
                <w:szCs w:val="21"/>
              </w:rPr>
              <w:t>（以厂家提供功率为准）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61" w:lineRule="auto"/>
              <w:ind w:left="100" w:leftChars="0" w:right="60" w:righ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kW</w:t>
            </w:r>
            <w:r>
              <w:rPr>
                <w:rFonts w:ascii="宋体" w:hAnsi="宋体" w:eastAsia="宋体" w:cs="宋体"/>
                <w:sz w:val="21"/>
                <w:szCs w:val="21"/>
              </w:rPr>
              <w:t>（以厂家提供功率为准）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both"/>
        <w:textAlignment w:val="auto"/>
        <w:rPr>
          <w:rFonts w:ascii="Times New Roman" w:hAnsi="Times New Roman" w:eastAsia="仿宋" w:cs="宋体"/>
          <w:spacing w:val="0"/>
          <w:kern w:val="0"/>
          <w:sz w:val="28"/>
          <w:szCs w:val="24"/>
        </w:rPr>
      </w:pP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设备具体外形及基础尺寸要求见附图。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宋体"/>
          <w:spacing w:val="0"/>
          <w:kern w:val="0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（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>6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）设备连续工作</w:t>
      </w:r>
      <w:r>
        <w:rPr>
          <w:rFonts w:hint="eastAsia" w:ascii="Times New Roman" w:hAnsi="Times New Roman" w:eastAsia="仿宋" w:cs="宋体"/>
          <w:spacing w:val="0"/>
          <w:kern w:val="0"/>
          <w:sz w:val="28"/>
          <w:szCs w:val="24"/>
          <w:lang w:val="en-US" w:eastAsia="zh-CN"/>
        </w:rPr>
        <w:t>7500小时无故障。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Times New Roman" w:hAnsi="Times New Roman" w:eastAsia="仿宋" w:cs="宋体"/>
          <w:sz w:val="28"/>
          <w:szCs w:val="24"/>
        </w:rPr>
      </w:pP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（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>7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）单台秤计量精度≤±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>0.5%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，系统控制精度≤±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>1%</w:t>
      </w:r>
      <w:r>
        <w:rPr>
          <w:rFonts w:ascii="Times New Roman" w:hAnsi="Times New Roman" w:eastAsia="仿宋" w:cs="宋体"/>
          <w:sz w:val="28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both"/>
        <w:textAlignment w:val="auto"/>
        <w:rPr>
          <w:rFonts w:hint="eastAsia" w:ascii="Times New Roman" w:hAnsi="Times New Roman" w:eastAsia="仿宋"/>
          <w:sz w:val="28"/>
        </w:rPr>
      </w:pPr>
      <w:r>
        <w:rPr>
          <w:rFonts w:ascii="Times New Roman" w:hAnsi="Times New Roman" w:eastAsia="仿宋" w:cs="宋体"/>
          <w:sz w:val="28"/>
          <w:szCs w:val="24"/>
        </w:rPr>
        <w:t>定量给料机称重和测量传感器控制系统</w:t>
      </w:r>
      <w:r>
        <w:rPr>
          <w:rFonts w:hint="eastAsia" w:ascii="Times New Roman" w:hAnsi="Times New Roman" w:eastAsia="仿宋"/>
          <w:sz w:val="28"/>
        </w:rPr>
        <w:t>留与上位机DCS系统的通信接口，</w:t>
      </w:r>
      <w:r>
        <w:rPr>
          <w:rFonts w:ascii="Times New Roman" w:hAnsi="Times New Roman" w:eastAsia="仿宋" w:cs="宋体"/>
          <w:sz w:val="28"/>
          <w:szCs w:val="24"/>
        </w:rPr>
        <w:t>可与</w:t>
      </w:r>
      <w:r>
        <w:rPr>
          <w:rFonts w:ascii="Times New Roman" w:hAnsi="Times New Roman" w:eastAsia="仿宋" w:cs="Times New Roman"/>
          <w:sz w:val="28"/>
          <w:szCs w:val="24"/>
        </w:rPr>
        <w:t>DCS</w:t>
      </w:r>
      <w:r>
        <w:rPr>
          <w:rFonts w:ascii="Times New Roman" w:hAnsi="Times New Roman" w:eastAsia="仿宋" w:cs="宋体"/>
          <w:sz w:val="28"/>
          <w:szCs w:val="24"/>
        </w:rPr>
        <w:t>进行通讯</w:t>
      </w:r>
      <w:r>
        <w:rPr>
          <w:rFonts w:hint="eastAsia" w:ascii="Times New Roman" w:hAnsi="Times New Roman" w:eastAsia="仿宋" w:cs="宋体"/>
          <w:sz w:val="28"/>
          <w:szCs w:val="24"/>
          <w:lang w:eastAsia="zh-CN"/>
        </w:rPr>
        <w:t>，</w:t>
      </w:r>
      <w:r>
        <w:rPr>
          <w:rFonts w:hint="eastAsia" w:ascii="Times New Roman" w:hAnsi="Times New Roman" w:eastAsia="仿宋"/>
          <w:sz w:val="28"/>
        </w:rPr>
        <w:t>控制系统预通信协议采用PROFIBUS—DP，对设备各监测点的信号全部输入至现场控制柜PLC进行处理，根据工艺要求进行监测、控制、报警；具有声光报警、故障诊断等显示及记忆功能。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both"/>
        <w:textAlignment w:val="auto"/>
        <w:rPr>
          <w:rFonts w:hint="eastAsia" w:ascii="Times New Roman" w:hAnsi="Times New Roman" w:eastAsia="仿宋"/>
          <w:sz w:val="28"/>
          <w:lang w:eastAsia="zh-CN"/>
        </w:rPr>
      </w:pPr>
      <w:r>
        <w:rPr>
          <w:rFonts w:hint="eastAsia" w:ascii="Times New Roman" w:hAnsi="Times New Roman" w:eastAsia="仿宋"/>
          <w:sz w:val="28"/>
        </w:rPr>
        <w:t>定量给料机控制柜集中安放在控制室，现场控制箱及电气控制柜防护等级不低于IP54，采用PLC控制，具有机旁控制和DCS中控室远程控制两种操作方式</w:t>
      </w:r>
      <w:r>
        <w:rPr>
          <w:rFonts w:hint="eastAsia" w:ascii="Times New Roman" w:hAnsi="Times New Roman" w:eastAsia="仿宋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both"/>
        <w:textAlignment w:val="auto"/>
        <w:rPr>
          <w:rFonts w:hint="eastAsia"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PLC、变频器、触摸屏及电气仪表元件采用西门子、ABB、施耐德等国际知名品牌。控制系统应采取隔离、滤波、过压保护等措施，以保证系统运行的稳定性和突然断电时设备和人身安全性。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560" w:firstLineChars="200"/>
        <w:jc w:val="both"/>
        <w:textAlignment w:val="auto"/>
        <w:rPr>
          <w:rFonts w:ascii="Times New Roman" w:hAnsi="Times New Roman" w:eastAsia="仿宋" w:cs="宋体"/>
          <w:sz w:val="28"/>
          <w:szCs w:val="24"/>
        </w:rPr>
      </w:pPr>
      <w:r>
        <w:rPr>
          <w:rFonts w:ascii="Times New Roman" w:hAnsi="Times New Roman" w:eastAsia="仿宋" w:cs="宋体"/>
          <w:sz w:val="28"/>
          <w:szCs w:val="24"/>
        </w:rPr>
        <w:t>有防胶带跑偏及打滑装置；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560" w:firstLineChars="200"/>
        <w:jc w:val="both"/>
        <w:textAlignment w:val="auto"/>
        <w:rPr>
          <w:rFonts w:ascii="Times New Roman" w:hAnsi="Times New Roman" w:eastAsia="仿宋" w:cs="宋体"/>
          <w:sz w:val="28"/>
          <w:szCs w:val="24"/>
        </w:rPr>
      </w:pPr>
      <w:r>
        <w:rPr>
          <w:rFonts w:ascii="Times New Roman" w:hAnsi="Times New Roman" w:eastAsia="仿宋" w:cs="宋体"/>
          <w:sz w:val="28"/>
          <w:szCs w:val="24"/>
        </w:rPr>
        <w:t>控制系统可靠、有错误诊断和测试系统；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rPr>
          <w:rFonts w:ascii="Times New Roman" w:hAnsi="Times New Roman" w:eastAsia="仿宋" w:cs="宋体"/>
          <w:sz w:val="28"/>
          <w:szCs w:val="24"/>
        </w:rPr>
      </w:pPr>
      <w:r>
        <w:rPr>
          <w:rFonts w:ascii="Times New Roman" w:hAnsi="Times New Roman" w:eastAsia="仿宋" w:cs="宋体"/>
          <w:sz w:val="28"/>
          <w:szCs w:val="24"/>
        </w:rPr>
        <w:t>带</w:t>
      </w:r>
      <w:r>
        <w:rPr>
          <w:rFonts w:hint="eastAsia" w:ascii="Times New Roman" w:hAnsi="Times New Roman" w:eastAsia="仿宋" w:cs="宋体"/>
          <w:spacing w:val="0"/>
          <w:kern w:val="0"/>
          <w:sz w:val="28"/>
          <w:szCs w:val="24"/>
          <w:lang w:val="en-US" w:eastAsia="zh-CN"/>
        </w:rPr>
        <w:t>0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点</w:t>
      </w:r>
      <w:r>
        <w:rPr>
          <w:rFonts w:ascii="Times New Roman" w:hAnsi="Times New Roman" w:eastAsia="仿宋" w:cs="宋体"/>
          <w:sz w:val="28"/>
          <w:szCs w:val="24"/>
        </w:rPr>
        <w:t>漂移自动校正和称量标定（不用实物标定），秤的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 xml:space="preserve"> 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 xml:space="preserve">0 </w:t>
      </w:r>
      <w:r>
        <w:rPr>
          <w:rFonts w:ascii="Times New Roman" w:hAnsi="Times New Roman" w:eastAsia="仿宋" w:cs="宋体"/>
          <w:sz w:val="28"/>
          <w:szCs w:val="24"/>
        </w:rPr>
        <w:t>点在</w:t>
      </w:r>
      <w:r>
        <w:rPr>
          <w:rFonts w:ascii="Times New Roman" w:hAnsi="Times New Roman" w:eastAsia="仿宋" w:cs="宋体"/>
          <w:spacing w:val="-54"/>
          <w:sz w:val="28"/>
          <w:szCs w:val="24"/>
        </w:rPr>
        <w:t xml:space="preserve"> </w:t>
      </w:r>
      <w:r>
        <w:rPr>
          <w:rFonts w:ascii="Times New Roman" w:hAnsi="Times New Roman" w:eastAsia="仿宋" w:cs="Times New Roman"/>
          <w:sz w:val="28"/>
          <w:szCs w:val="24"/>
        </w:rPr>
        <w:t>336h</w:t>
      </w:r>
      <w:r>
        <w:rPr>
          <w:rFonts w:ascii="Times New Roman" w:hAnsi="Times New Roman" w:eastAsia="仿宋" w:cs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eastAsia="仿宋" w:cs="宋体"/>
          <w:sz w:val="28"/>
          <w:szCs w:val="24"/>
        </w:rPr>
        <w:t>内漂移量不超过给料量的±</w:t>
      </w:r>
      <w:r>
        <w:rPr>
          <w:rFonts w:ascii="Times New Roman" w:hAnsi="Times New Roman" w:eastAsia="仿宋" w:cs="Times New Roman"/>
          <w:sz w:val="28"/>
          <w:szCs w:val="24"/>
        </w:rPr>
        <w:t>0.5%</w:t>
      </w:r>
      <w:r>
        <w:rPr>
          <w:rFonts w:ascii="Times New Roman" w:hAnsi="Times New Roman" w:eastAsia="仿宋" w:cs="宋体"/>
          <w:sz w:val="28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both"/>
        <w:textAlignment w:val="auto"/>
        <w:rPr>
          <w:rFonts w:hint="eastAsia"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  <w:lang w:eastAsia="zh-CN"/>
        </w:rPr>
        <w:t>（</w:t>
      </w:r>
      <w:r>
        <w:rPr>
          <w:rFonts w:hint="eastAsia" w:ascii="Times New Roman" w:hAnsi="Times New Roman" w:eastAsia="仿宋"/>
          <w:sz w:val="28"/>
          <w:lang w:val="en-US" w:eastAsia="zh-CN"/>
        </w:rPr>
        <w:t>8</w:t>
      </w:r>
      <w:r>
        <w:rPr>
          <w:rFonts w:hint="eastAsia" w:ascii="Times New Roman" w:hAnsi="Times New Roman" w:eastAsia="仿宋"/>
          <w:sz w:val="28"/>
          <w:lang w:eastAsia="zh-CN"/>
        </w:rPr>
        <w:t>）</w:t>
      </w:r>
      <w:r>
        <w:rPr>
          <w:rFonts w:hint="eastAsia" w:ascii="Times New Roman" w:hAnsi="Times New Roman" w:eastAsia="仿宋"/>
          <w:sz w:val="28"/>
        </w:rPr>
        <w:t>电机要求：交流变频电机，防护等级不低于IP55，绝缘等级不低于F级，电动机选用国内外知名品牌；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Times New Roman" w:hAnsi="Times New Roman" w:eastAsia="仿宋"/>
          <w:spacing w:val="0"/>
          <w:kern w:val="0"/>
          <w:sz w:val="28"/>
          <w:lang w:val="en-US" w:eastAsia="zh-CN"/>
        </w:rPr>
      </w:pPr>
      <w:r>
        <w:rPr>
          <w:rFonts w:hint="eastAsia" w:ascii="Times New Roman" w:hAnsi="Times New Roman" w:eastAsia="仿宋" w:cs="宋体"/>
          <w:sz w:val="28"/>
          <w:szCs w:val="24"/>
          <w:lang w:eastAsia="zh-CN"/>
        </w:rPr>
        <w:t>（</w:t>
      </w:r>
      <w:r>
        <w:rPr>
          <w:rFonts w:hint="eastAsia" w:ascii="Times New Roman" w:hAnsi="Times New Roman" w:eastAsia="仿宋" w:cs="宋体"/>
          <w:sz w:val="28"/>
          <w:szCs w:val="24"/>
          <w:lang w:val="en-US" w:eastAsia="zh-CN"/>
        </w:rPr>
        <w:t>9</w:t>
      </w:r>
      <w:r>
        <w:rPr>
          <w:rFonts w:hint="eastAsia" w:ascii="Times New Roman" w:hAnsi="Times New Roman" w:eastAsia="仿宋" w:cs="宋体"/>
          <w:sz w:val="28"/>
          <w:szCs w:val="24"/>
          <w:lang w:eastAsia="zh-CN"/>
        </w:rPr>
        <w:t>）</w:t>
      </w:r>
      <w:r>
        <w:rPr>
          <w:rFonts w:ascii="Times New Roman" w:hAnsi="Times New Roman" w:eastAsia="仿宋" w:cs="宋体"/>
          <w:sz w:val="28"/>
          <w:szCs w:val="24"/>
        </w:rPr>
        <w:t>工作噪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音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>&lt;</w:t>
      </w:r>
      <w:r>
        <w:rPr>
          <w:rFonts w:hint="eastAsia" w:ascii="Times New Roman" w:hAnsi="Times New Roman" w:eastAsia="仿宋" w:cs="Times New Roman"/>
          <w:spacing w:val="0"/>
          <w:kern w:val="0"/>
          <w:sz w:val="28"/>
          <w:szCs w:val="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>85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 xml:space="preserve">分贝（机器上方 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 xml:space="preserve">1.5m 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 xml:space="preserve">或周围 </w:t>
      </w:r>
      <w:r>
        <w:rPr>
          <w:rFonts w:ascii="Times New Roman" w:hAnsi="Times New Roman" w:eastAsia="仿宋" w:cs="Times New Roman"/>
          <w:spacing w:val="0"/>
          <w:kern w:val="0"/>
          <w:sz w:val="28"/>
          <w:szCs w:val="24"/>
        </w:rPr>
        <w:t xml:space="preserve">1m </w:t>
      </w:r>
      <w:r>
        <w:rPr>
          <w:rFonts w:ascii="Times New Roman" w:hAnsi="Times New Roman" w:eastAsia="仿宋" w:cs="宋体"/>
          <w:spacing w:val="0"/>
          <w:kern w:val="0"/>
          <w:sz w:val="28"/>
          <w:szCs w:val="24"/>
        </w:rPr>
        <w:t>范围内测量此噪音）；电气和控制均由供应商成套提供，甲方只提供电源接入；仪表可显示瞬间流量值和班、日的累计流量（在停电情况下，存储器的数据永久保存）。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</w:t>
      </w:r>
    </w:p>
    <w:p>
      <w:pPr>
        <w:numPr>
          <w:ilvl w:val="0"/>
          <w:numId w:val="4"/>
        </w:numPr>
        <w:spacing w:after="100" w:line="360" w:lineRule="auto"/>
        <w:ind w:firstLine="523" w:firstLineChars="187"/>
        <w:rPr>
          <w:rFonts w:hint="eastAsia" w:ascii="Times New Roman" w:hAnsi="Times New Roman" w:eastAsia="仿宋"/>
          <w:bCs/>
          <w:color w:val="auto"/>
          <w:sz w:val="28"/>
          <w:lang w:val="zh-CN"/>
        </w:rPr>
      </w:pPr>
      <w:r>
        <w:rPr>
          <w:rFonts w:hint="eastAsia" w:ascii="Times New Roman" w:hAnsi="Times New Roman" w:eastAsia="仿宋"/>
          <w:bCs/>
          <w:color w:val="auto"/>
          <w:sz w:val="28"/>
          <w:lang w:val="zh-CN"/>
        </w:rPr>
        <w:t>营业执照、税务登记证、组织机构代码证（复印件盖章，三证合一的提供营业执照复印件盖章）；</w:t>
      </w:r>
    </w:p>
    <w:p>
      <w:pPr>
        <w:numPr>
          <w:ilvl w:val="0"/>
          <w:numId w:val="4"/>
        </w:numPr>
        <w:spacing w:after="100" w:line="360" w:lineRule="auto"/>
        <w:ind w:firstLine="523" w:firstLineChars="187"/>
        <w:rPr>
          <w:rFonts w:hint="eastAsia" w:ascii="Times New Roman" w:hAnsi="Times New Roman" w:eastAsia="仿宋" w:cs="Times New Roman"/>
          <w:bCs/>
          <w:color w:val="auto"/>
          <w:sz w:val="28"/>
          <w:lang w:val="en-US" w:eastAsia="zh-CN"/>
        </w:rPr>
      </w:pPr>
      <w:r>
        <w:rPr>
          <w:rFonts w:hint="eastAsia" w:ascii="Times New Roman" w:hAnsi="Times New Roman" w:eastAsia="仿宋"/>
          <w:bCs/>
          <w:color w:val="auto"/>
          <w:sz w:val="28"/>
          <w:lang w:val="zh-CN" w:eastAsia="zh-CN"/>
        </w:rPr>
        <w:t>代理商需提供生产单位的授权证明盖</w:t>
      </w:r>
      <w:r>
        <w:rPr>
          <w:rFonts w:hint="eastAsia" w:ascii="Times New Roman" w:hAnsi="Times New Roman" w:eastAsia="仿宋" w:cs="Times New Roman"/>
          <w:bCs/>
          <w:color w:val="auto"/>
          <w:sz w:val="28"/>
          <w:lang w:val="zh-CN" w:eastAsia="zh-CN"/>
        </w:rPr>
        <w:t>章（生产单位的公章或投标专用章）；</w:t>
      </w:r>
    </w:p>
    <w:p>
      <w:pPr>
        <w:spacing w:after="100" w:line="360" w:lineRule="auto"/>
        <w:ind w:firstLine="523" w:firstLineChars="187"/>
        <w:rPr>
          <w:rFonts w:hint="eastAsia" w:ascii="Times New Roman" w:hAnsi="Times New Roman" w:eastAsia="仿宋"/>
          <w:bCs/>
          <w:color w:val="auto"/>
          <w:sz w:val="28"/>
          <w:lang w:val="en-US" w:eastAsia="zh-CN"/>
        </w:rPr>
      </w:pPr>
      <w:r>
        <w:rPr>
          <w:rFonts w:hint="eastAsia" w:ascii="Times New Roman" w:hAnsi="Times New Roman" w:eastAsia="仿宋"/>
          <w:bCs/>
          <w:color w:val="auto"/>
          <w:sz w:val="28"/>
          <w:lang w:val="en-US" w:eastAsia="zh-CN"/>
        </w:rPr>
        <w:t>（3）投标人具有履行合同的能力，有</w:t>
      </w:r>
      <w:r>
        <w:rPr>
          <w:rFonts w:hint="eastAsia" w:ascii="Times New Roman" w:hAnsi="Times New Roman" w:eastAsia="仿宋"/>
          <w:bCs/>
          <w:sz w:val="28"/>
        </w:rPr>
        <w:t>近三年同类产品销售业绩表</w:t>
      </w:r>
      <w:r>
        <w:rPr>
          <w:rFonts w:hint="eastAsia" w:ascii="Times New Roman" w:hAnsi="Times New Roman" w:eastAsia="仿宋"/>
          <w:bCs/>
          <w:color w:val="auto"/>
          <w:sz w:val="28"/>
          <w:lang w:val="en-US" w:eastAsia="zh-CN"/>
        </w:rPr>
        <w:t>，在设备、人员、资金和质量保证、管理体系等方面有圆满完成此项目的足够能力（盖章）；</w:t>
      </w:r>
    </w:p>
    <w:p>
      <w:pPr>
        <w:spacing w:after="100" w:line="360" w:lineRule="auto"/>
        <w:ind w:firstLine="523" w:firstLineChars="187"/>
        <w:rPr>
          <w:rFonts w:hint="eastAsia" w:ascii="Times New Roman" w:hAnsi="Times New Roman" w:eastAsia="仿宋"/>
          <w:bCs/>
          <w:sz w:val="28"/>
        </w:rPr>
      </w:pPr>
      <w:r>
        <w:rPr>
          <w:rFonts w:hint="eastAsia" w:ascii="Times New Roman" w:hAnsi="Times New Roman" w:eastAsia="仿宋"/>
          <w:bCs/>
          <w:sz w:val="28"/>
        </w:rPr>
        <w:t>（</w:t>
      </w:r>
      <w:r>
        <w:rPr>
          <w:rFonts w:hint="eastAsia" w:ascii="Times New Roman" w:hAnsi="Times New Roman" w:eastAsia="仿宋"/>
          <w:bCs/>
          <w:sz w:val="28"/>
          <w:lang w:val="en-US" w:eastAsia="zh-CN"/>
        </w:rPr>
        <w:t>3</w:t>
      </w:r>
      <w:r>
        <w:rPr>
          <w:rFonts w:hint="eastAsia" w:ascii="Times New Roman" w:hAnsi="Times New Roman" w:eastAsia="仿宋"/>
          <w:bCs/>
          <w:sz w:val="28"/>
        </w:rPr>
        <w:t>）投标设备的主要加工设施和加工装备情况；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Cs/>
          <w:sz w:val="28"/>
        </w:rPr>
        <w:t>（</w:t>
      </w:r>
      <w:r>
        <w:rPr>
          <w:rFonts w:hint="eastAsia" w:ascii="Times New Roman" w:hAnsi="Times New Roman" w:eastAsia="仿宋"/>
          <w:bCs/>
          <w:sz w:val="28"/>
          <w:lang w:val="en-US" w:eastAsia="zh-CN"/>
        </w:rPr>
        <w:t>4</w:t>
      </w:r>
      <w:r>
        <w:rPr>
          <w:rFonts w:hint="eastAsia" w:ascii="Times New Roman" w:hAnsi="Times New Roman" w:eastAsia="仿宋"/>
          <w:bCs/>
          <w:sz w:val="28"/>
        </w:rPr>
        <w:t>）主要外购件、配套件、易损件的供应商和地址</w:t>
      </w:r>
      <w:r>
        <w:rPr>
          <w:rFonts w:hint="eastAsia" w:ascii="Times New Roman" w:hAnsi="Times New Roman" w:eastAsia="仿宋"/>
          <w:bCs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有近三年同类产品销售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的采购协议或合同等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，在设备、人员、资金和质量保证、管理体系等方面有圆满完成此项目的足够能力（盖章）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所有含税价格均为含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13 %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支付合同总价的10%作为预付款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设备到达现场开箱检验合格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并开具全额13%增值税专用发票，支付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合同总价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0%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设备安装完成后支付合同总额20%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带料试车验收合格后支付合同总额20%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剩余合同总价的10%作为质量保证金，质量保证金在设备安装完成验收合格证书签署之日起连续正常运转12个月无质量问题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或设备到厂18个月（先到为准），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买方向卖方支付。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预计2025年9月，具体到货接买方通知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8.谈判项目报名单位在“中国执行信息公开网”查询中属失信被执行人的，视为无履约能力，不得报名参加，已报名的视为无效报名。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25291"/>
    <w:multiLevelType w:val="singleLevel"/>
    <w:tmpl w:val="C6F25291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sz w:val="28"/>
        <w:szCs w:val="28"/>
      </w:rPr>
    </w:lvl>
  </w:abstractNum>
  <w:abstractNum w:abstractNumId="3">
    <w:nsid w:val="67F52EBD"/>
    <w:multiLevelType w:val="singleLevel"/>
    <w:tmpl w:val="67F52EB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66090"/>
    <w:rsid w:val="06BE5587"/>
    <w:rsid w:val="081267AD"/>
    <w:rsid w:val="086006B3"/>
    <w:rsid w:val="0A0C5113"/>
    <w:rsid w:val="0EFA4090"/>
    <w:rsid w:val="10207B85"/>
    <w:rsid w:val="14466090"/>
    <w:rsid w:val="1DD87B86"/>
    <w:rsid w:val="2CE20C16"/>
    <w:rsid w:val="31F93AE0"/>
    <w:rsid w:val="36921DD3"/>
    <w:rsid w:val="424D3EFC"/>
    <w:rsid w:val="47C36A0E"/>
    <w:rsid w:val="49115557"/>
    <w:rsid w:val="4C8D75A5"/>
    <w:rsid w:val="526F112B"/>
    <w:rsid w:val="62D7141B"/>
    <w:rsid w:val="68FC4B39"/>
    <w:rsid w:val="69801301"/>
    <w:rsid w:val="75080C0F"/>
    <w:rsid w:val="772A2F4A"/>
    <w:rsid w:val="7BA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  <w:ind w:left="215"/>
    </w:pPr>
    <w:rPr>
      <w:rFonts w:ascii="宋体" w:hAnsi="宋体" w:eastAsia="宋体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华文仿宋" w:hAnsi="华文仿宋" w:eastAsia="华文仿宋" w:cs="华文仿宋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2025-04-16T07:07:00Z</dcterms:created>
  <dc:creator>秦小木</dc:creator>
  <cp:lastModifiedBy>孔燕</cp:lastModifiedBy>
  <dcterms:modified xsi:type="dcterms:W3CDTF">2025-05-30T09:01:52Z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3898510474A04B999C047E88076F3B38_11</vt:lpwstr>
  </property>
  <property fmtid="{D5CDD505-2E9C-101B-9397-08002B2CF9AE}" pid="4" name="KSOTemplateDocerSaveRecord">
    <vt:lpwstr>eyJoZGlkIjoiMzM4MDMzOTRhZDk0NDMyM2E0MzczYWUzMzE5YjVkZmEiLCJ1c2VySWQiOiIyNzM0NTI0MzEifQ==</vt:lpwstr>
  </property>
</Properties>
</file>