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谈判项目要求</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一、项目概况</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河南中原黄金冶炼厂有限责任公司</w:t>
      </w:r>
      <w:r>
        <w:rPr>
          <w:rFonts w:hint="eastAsia" w:ascii="仿宋" w:hAnsi="仿宋" w:eastAsia="仿宋" w:cs="仿宋"/>
          <w:sz w:val="28"/>
          <w:szCs w:val="28"/>
          <w:lang w:eastAsia="zh-CN"/>
        </w:rPr>
        <w:t>现对该谈判</w:t>
      </w:r>
      <w:r>
        <w:rPr>
          <w:rFonts w:hint="eastAsia" w:ascii="仿宋" w:hAnsi="仿宋" w:eastAsia="仿宋" w:cs="仿宋"/>
          <w:sz w:val="28"/>
          <w:szCs w:val="28"/>
          <w:lang w:val="en-US" w:eastAsia="zh-CN"/>
        </w:rPr>
        <w:t>项目公开公示</w:t>
      </w:r>
      <w:r>
        <w:rPr>
          <w:rFonts w:hint="eastAsia" w:ascii="仿宋" w:hAnsi="仿宋" w:eastAsia="仿宋" w:cs="仿宋"/>
          <w:sz w:val="28"/>
          <w:szCs w:val="28"/>
        </w:rPr>
        <w:t>，请有</w:t>
      </w:r>
      <w:r>
        <w:rPr>
          <w:rFonts w:hint="eastAsia" w:ascii="仿宋" w:hAnsi="仿宋" w:eastAsia="仿宋" w:cs="仿宋"/>
          <w:sz w:val="28"/>
          <w:szCs w:val="28"/>
          <w:lang w:eastAsia="zh-CN"/>
        </w:rPr>
        <w:t>参与</w:t>
      </w:r>
      <w:r>
        <w:rPr>
          <w:rFonts w:hint="eastAsia" w:ascii="仿宋" w:hAnsi="仿宋" w:eastAsia="仿宋" w:cs="仿宋"/>
          <w:sz w:val="28"/>
          <w:szCs w:val="28"/>
        </w:rPr>
        <w:t>意向的供应商提交</w:t>
      </w:r>
      <w:r>
        <w:rPr>
          <w:rFonts w:hint="eastAsia" w:ascii="仿宋" w:hAnsi="仿宋" w:eastAsia="仿宋" w:cs="仿宋"/>
          <w:sz w:val="28"/>
          <w:szCs w:val="28"/>
          <w:lang w:eastAsia="zh-CN"/>
        </w:rPr>
        <w:t>报名表和相关资质文件</w:t>
      </w:r>
      <w:r>
        <w:rPr>
          <w:rFonts w:hint="eastAsia" w:ascii="仿宋" w:hAnsi="仿宋" w:eastAsia="仿宋" w:cs="仿宋"/>
          <w:sz w:val="28"/>
          <w:szCs w:val="28"/>
        </w:rPr>
        <w:t>。</w:t>
      </w:r>
    </w:p>
    <w:p>
      <w:pPr>
        <w:numPr>
          <w:ilvl w:val="0"/>
          <w:numId w:val="1"/>
        </w:num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谈判项目编号：</w:t>
      </w:r>
      <w:r>
        <w:rPr>
          <w:rFonts w:hint="eastAsia" w:ascii="仿宋" w:hAnsi="仿宋" w:eastAsia="仿宋" w:cs="仿宋"/>
          <w:sz w:val="28"/>
          <w:szCs w:val="28"/>
          <w:u w:val="single"/>
          <w:lang w:val="en-US" w:eastAsia="zh-CN"/>
        </w:rPr>
        <w:t xml:space="preserve">YGCG2025118   </w:t>
      </w:r>
    </w:p>
    <w:p>
      <w:pPr>
        <w:numPr>
          <w:ilvl w:val="0"/>
          <w:numId w:val="1"/>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项目名称：河南中原黄金冶炼厂有限责任公司</w:t>
      </w:r>
      <w:r>
        <w:rPr>
          <w:rFonts w:hint="eastAsia" w:ascii="仿宋" w:hAnsi="仿宋" w:eastAsia="仿宋" w:cs="仿宋"/>
          <w:sz w:val="28"/>
          <w:szCs w:val="28"/>
          <w:u w:val="single"/>
          <w:lang w:val="en-US" w:eastAsia="zh-CN"/>
        </w:rPr>
        <w:t>（危废渣项目铅电解循环水箱采购）</w:t>
      </w:r>
      <w:r>
        <w:rPr>
          <w:rFonts w:hint="eastAsia" w:ascii="仿宋" w:hAnsi="仿宋" w:eastAsia="仿宋" w:cs="仿宋"/>
          <w:sz w:val="28"/>
          <w:szCs w:val="28"/>
          <w:lang w:val="en-US" w:eastAsia="zh-CN"/>
        </w:rPr>
        <w:t>。</w:t>
      </w:r>
      <w:bookmarkStart w:id="0" w:name="_GoBack"/>
      <w:bookmarkEnd w:id="0"/>
    </w:p>
    <w:p>
      <w:pPr>
        <w:numPr>
          <w:ilvl w:val="0"/>
          <w:numId w:val="1"/>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业务管理部门:</w:t>
      </w:r>
      <w:r>
        <w:rPr>
          <w:rFonts w:hint="eastAsia" w:ascii="仿宋" w:hAnsi="仿宋" w:eastAsia="仿宋" w:cs="仿宋"/>
          <w:sz w:val="28"/>
          <w:szCs w:val="28"/>
          <w:u w:val="single"/>
          <w:lang w:val="en-US" w:eastAsia="zh-CN"/>
        </w:rPr>
        <w:t xml:space="preserve">   工程部   </w:t>
      </w:r>
    </w:p>
    <w:p>
      <w:pPr>
        <w:numPr>
          <w:ilvl w:val="0"/>
          <w:numId w:val="2"/>
        </w:num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项目内容</w:t>
      </w:r>
    </w:p>
    <w:p>
      <w:pPr>
        <w:spacing w:after="10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①</w:t>
      </w:r>
      <w:r>
        <w:rPr>
          <w:rFonts w:hint="eastAsia" w:ascii="宋体" w:hAnsi="宋体" w:eastAsia="宋体" w:cs="宋体"/>
          <w:b/>
          <w:color w:val="auto"/>
          <w:sz w:val="24"/>
          <w:szCs w:val="24"/>
        </w:rPr>
        <w:t>供货范围：投标方应成套供应如下设备</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矩形水箱1台，包括（但不限于以下内容）：水箱本体、就地玻璃管液位计、内外爬梯、栏杆、管口、通气管、人孔、底座等。</w:t>
      </w:r>
    </w:p>
    <w:tbl>
      <w:tblPr>
        <w:tblStyle w:val="4"/>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09"/>
        <w:gridCol w:w="3395"/>
        <w:gridCol w:w="903"/>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aps/>
                <w:sz w:val="24"/>
                <w:szCs w:val="24"/>
              </w:rPr>
            </w:pPr>
            <w:r>
              <w:rPr>
                <w:rFonts w:hint="eastAsia" w:ascii="宋体" w:hAnsi="宋体" w:eastAsia="宋体" w:cs="宋体"/>
                <w:b/>
                <w:caps/>
                <w:sz w:val="24"/>
                <w:szCs w:val="24"/>
              </w:rPr>
              <w:t>序号</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aps/>
                <w:sz w:val="24"/>
                <w:szCs w:val="24"/>
              </w:rPr>
            </w:pPr>
            <w:r>
              <w:rPr>
                <w:rFonts w:hint="eastAsia" w:ascii="宋体" w:hAnsi="宋体" w:eastAsia="宋体" w:cs="宋体"/>
                <w:b/>
                <w:caps/>
                <w:sz w:val="24"/>
                <w:szCs w:val="24"/>
              </w:rPr>
              <w:t>货物名称</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aps/>
                <w:sz w:val="24"/>
                <w:szCs w:val="24"/>
              </w:rPr>
            </w:pPr>
            <w:r>
              <w:rPr>
                <w:rFonts w:hint="eastAsia" w:ascii="宋体" w:hAnsi="宋体" w:eastAsia="宋体" w:cs="宋体"/>
                <w:b/>
                <w:caps/>
                <w:sz w:val="24"/>
                <w:szCs w:val="24"/>
              </w:rPr>
              <w:t>规格型号</w:t>
            </w:r>
          </w:p>
        </w:tc>
        <w:tc>
          <w:tcPr>
            <w:tcW w:w="9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aps/>
                <w:sz w:val="24"/>
                <w:szCs w:val="24"/>
              </w:rPr>
            </w:pPr>
            <w:r>
              <w:rPr>
                <w:rFonts w:hint="eastAsia" w:ascii="宋体" w:hAnsi="宋体" w:eastAsia="宋体" w:cs="宋体"/>
                <w:b/>
                <w:caps/>
                <w:sz w:val="24"/>
                <w:szCs w:val="24"/>
              </w:rPr>
              <w:t>数量</w:t>
            </w:r>
          </w:p>
        </w:tc>
        <w:tc>
          <w:tcPr>
            <w:tcW w:w="27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aps/>
                <w:sz w:val="24"/>
                <w:szCs w:val="24"/>
              </w:rPr>
            </w:pPr>
            <w:r>
              <w:rPr>
                <w:rFonts w:hint="eastAsia" w:ascii="宋体" w:hAnsi="宋体" w:eastAsia="宋体" w:cs="宋体"/>
                <w:b/>
                <w:cap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循环回水箱</w:t>
            </w:r>
          </w:p>
        </w:tc>
        <w:tc>
          <w:tcPr>
            <w:tcW w:w="3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具体如下</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c>
          <w:tcPr>
            <w:tcW w:w="27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用于贮存直线铸锭机循环回水</w:t>
            </w:r>
          </w:p>
        </w:tc>
      </w:tr>
    </w:tbl>
    <w:p>
      <w:pPr>
        <w:spacing w:after="100" w:line="360" w:lineRule="auto"/>
        <w:ind w:firstLine="482" w:firstLineChars="2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② 技术要求</w:t>
      </w:r>
    </w:p>
    <w:p>
      <w:pPr>
        <w:numPr>
          <w:numId w:val="0"/>
        </w:numPr>
        <w:spacing w:line="360" w:lineRule="auto"/>
        <w:ind w:leftChars="0"/>
        <w:jc w:val="both"/>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（1）介质情况：</w:t>
      </w:r>
    </w:p>
    <w:p>
      <w:pPr>
        <w:numPr>
          <w:numId w:val="0"/>
        </w:numPr>
        <w:spacing w:line="360" w:lineRule="auto"/>
        <w:ind w:leftChars="0"/>
        <w:jc w:val="both"/>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循环水（SS≦</w:t>
      </w:r>
      <w:r>
        <w:rPr>
          <w:rFonts w:hint="eastAsia" w:ascii="仿宋" w:hAnsi="仿宋" w:eastAsia="仿宋" w:cs="仿宋"/>
          <w:sz w:val="28"/>
          <w:szCs w:val="28"/>
          <w:lang w:val="en-US" w:eastAsia="zh-CN"/>
        </w:rPr>
        <w:t>5</w:t>
      </w:r>
      <w:r>
        <w:rPr>
          <w:rFonts w:hint="eastAsia" w:ascii="仿宋" w:hAnsi="仿宋" w:eastAsia="仿宋" w:cs="仿宋"/>
          <w:sz w:val="28"/>
          <w:szCs w:val="28"/>
          <w:lang w:val="zh-CN" w:eastAsia="zh-CN"/>
        </w:rPr>
        <w:t>0mg/L；正常pH：6~9；温度5~50℃；比重1.0）。</w:t>
      </w:r>
    </w:p>
    <w:p>
      <w:pPr>
        <w:numPr>
          <w:numId w:val="0"/>
        </w:numPr>
        <w:spacing w:line="360" w:lineRule="auto"/>
        <w:ind w:leftChars="0"/>
        <w:jc w:val="both"/>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（2）操作情况：</w:t>
      </w:r>
    </w:p>
    <w:p>
      <w:pPr>
        <w:numPr>
          <w:numId w:val="0"/>
        </w:numPr>
        <w:spacing w:line="360"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zh-CN" w:eastAsia="zh-CN"/>
        </w:rPr>
        <w:t>运行状态：连续运</w:t>
      </w:r>
      <w:r>
        <w:rPr>
          <w:rFonts w:hint="eastAsia" w:ascii="仿宋" w:hAnsi="仿宋" w:eastAsia="仿宋" w:cs="仿宋"/>
          <w:sz w:val="28"/>
          <w:szCs w:val="28"/>
          <w:lang w:val="en-US" w:eastAsia="zh-CN"/>
        </w:rPr>
        <w:t>行</w:t>
      </w:r>
      <w:r>
        <w:rPr>
          <w:rFonts w:hint="eastAsia" w:ascii="仿宋" w:hAnsi="仿宋" w:eastAsia="仿宋" w:cs="仿宋"/>
          <w:sz w:val="28"/>
          <w:szCs w:val="28"/>
          <w:lang w:val="zh-CN" w:eastAsia="zh-CN"/>
        </w:rPr>
        <w:t>。</w:t>
      </w:r>
    </w:p>
    <w:p>
      <w:pPr>
        <w:numPr>
          <w:numId w:val="0"/>
        </w:numPr>
        <w:spacing w:line="360" w:lineRule="auto"/>
        <w:ind w:leftChars="0"/>
        <w:jc w:val="both"/>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（3）技术参数及性能要求</w:t>
      </w:r>
    </w:p>
    <w:p>
      <w:pPr>
        <w:numPr>
          <w:numId w:val="0"/>
        </w:numPr>
        <w:spacing w:line="360" w:lineRule="auto"/>
        <w:ind w:leftChars="0"/>
        <w:jc w:val="both"/>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1）</w:t>
      </w:r>
      <w:r>
        <w:rPr>
          <w:rFonts w:hint="eastAsia" w:ascii="仿宋" w:hAnsi="仿宋" w:eastAsia="仿宋" w:cs="仿宋"/>
          <w:sz w:val="28"/>
          <w:szCs w:val="28"/>
          <w:lang w:val="en-US" w:eastAsia="zh-CN"/>
        </w:rPr>
        <w:t>矩形水箱1</w:t>
      </w:r>
      <w:r>
        <w:rPr>
          <w:rFonts w:hint="eastAsia" w:ascii="仿宋" w:hAnsi="仿宋" w:eastAsia="仿宋" w:cs="仿宋"/>
          <w:sz w:val="28"/>
          <w:szCs w:val="28"/>
          <w:lang w:val="zh-CN" w:eastAsia="zh-CN"/>
        </w:rPr>
        <w:t>台，</w:t>
      </w:r>
      <w:r>
        <w:rPr>
          <w:rFonts w:hint="eastAsia" w:ascii="仿宋" w:hAnsi="仿宋" w:eastAsia="仿宋" w:cs="仿宋"/>
          <w:sz w:val="28"/>
          <w:szCs w:val="28"/>
          <w:lang w:val="en-US" w:eastAsia="zh-CN"/>
        </w:rPr>
        <w:t>尺寸：L×B×H=2.0m×1.0m×1.0m</w:t>
      </w:r>
      <w:r>
        <w:rPr>
          <w:rFonts w:hint="eastAsia" w:ascii="仿宋" w:hAnsi="仿宋" w:eastAsia="仿宋" w:cs="仿宋"/>
          <w:sz w:val="28"/>
          <w:szCs w:val="28"/>
          <w:lang w:val="zh-CN" w:eastAsia="zh-CN"/>
        </w:rPr>
        <w:t>。</w:t>
      </w:r>
    </w:p>
    <w:p>
      <w:pPr>
        <w:numPr>
          <w:numId w:val="0"/>
        </w:numPr>
        <w:spacing w:line="360" w:lineRule="auto"/>
        <w:ind w:leftChars="0"/>
        <w:jc w:val="both"/>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2）</w:t>
      </w:r>
      <w:r>
        <w:rPr>
          <w:rFonts w:hint="eastAsia" w:ascii="仿宋" w:hAnsi="仿宋" w:eastAsia="仿宋" w:cs="仿宋"/>
          <w:sz w:val="28"/>
          <w:szCs w:val="28"/>
          <w:lang w:val="en-US" w:eastAsia="zh-CN"/>
        </w:rPr>
        <w:t>水箱及附件材质</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304不锈钢</w:t>
      </w:r>
      <w:r>
        <w:rPr>
          <w:rFonts w:hint="eastAsia" w:ascii="仿宋" w:hAnsi="仿宋" w:eastAsia="仿宋" w:cs="仿宋"/>
          <w:sz w:val="28"/>
          <w:szCs w:val="28"/>
          <w:lang w:val="zh-CN" w:eastAsia="zh-CN"/>
        </w:rPr>
        <w:t>。</w:t>
      </w:r>
    </w:p>
    <w:p>
      <w:pPr>
        <w:numPr>
          <w:numId w:val="0"/>
        </w:numPr>
        <w:spacing w:line="360" w:lineRule="auto"/>
        <w:ind w:leftChars="0"/>
        <w:jc w:val="both"/>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3）</w:t>
      </w:r>
      <w:r>
        <w:rPr>
          <w:rFonts w:hint="eastAsia" w:ascii="仿宋" w:hAnsi="仿宋" w:eastAsia="仿宋" w:cs="仿宋"/>
          <w:sz w:val="28"/>
          <w:szCs w:val="28"/>
          <w:lang w:val="en-US" w:eastAsia="zh-CN"/>
        </w:rPr>
        <w:t>水箱壁厚：箱底、侧板壁厚≥5mm，箱顶≥3mm</w:t>
      </w:r>
      <w:r>
        <w:rPr>
          <w:rFonts w:hint="eastAsia" w:ascii="仿宋" w:hAnsi="仿宋" w:eastAsia="仿宋" w:cs="仿宋"/>
          <w:sz w:val="28"/>
          <w:szCs w:val="28"/>
          <w:lang w:val="zh-CN" w:eastAsia="zh-CN"/>
        </w:rPr>
        <w:t>。</w:t>
      </w:r>
    </w:p>
    <w:p>
      <w:pPr>
        <w:numPr>
          <w:numId w:val="0"/>
        </w:numPr>
        <w:spacing w:line="360"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4）水箱的管口、人孔等位置需按照设计院施工图纸制作，待定标后提供。</w:t>
      </w:r>
    </w:p>
    <w:p>
      <w:pPr>
        <w:numPr>
          <w:numId w:val="0"/>
        </w:numPr>
        <w:spacing w:line="360" w:lineRule="auto"/>
        <w:ind w:leftChars="0"/>
        <w:jc w:val="both"/>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（4）其他（相关标准、噪声等）</w:t>
      </w:r>
    </w:p>
    <w:p>
      <w:pPr>
        <w:numPr>
          <w:numId w:val="0"/>
        </w:numPr>
        <w:spacing w:line="360"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zh-CN" w:eastAsia="zh-CN"/>
        </w:rPr>
        <w:t>1）</w:t>
      </w:r>
      <w:r>
        <w:rPr>
          <w:rFonts w:hint="eastAsia" w:ascii="仿宋" w:hAnsi="仿宋" w:eastAsia="仿宋" w:cs="仿宋"/>
          <w:sz w:val="28"/>
          <w:szCs w:val="28"/>
          <w:lang w:val="en-US" w:eastAsia="zh-CN"/>
        </w:rPr>
        <w:t>水箱的制造、检验（试验）和验收应遵循下列标准及规范：</w:t>
      </w:r>
    </w:p>
    <w:p>
      <w:pPr>
        <w:numPr>
          <w:numId w:val="0"/>
        </w:numPr>
        <w:spacing w:line="360"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《矩形给水箱》国家标准图集12S101</w:t>
      </w:r>
    </w:p>
    <w:p>
      <w:pPr>
        <w:numPr>
          <w:numId w:val="0"/>
        </w:numPr>
        <w:spacing w:line="360"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《涂覆涂料前钢材表面处理表面清洁度的目视评定 第1部分：未涂覆过的钢材表面和全面清除原有涂层后的钢材表面锈蚀等级和处理等级》GB8923.1-2011</w:t>
      </w:r>
    </w:p>
    <w:p>
      <w:pPr>
        <w:numPr>
          <w:numId w:val="0"/>
        </w:numPr>
        <w:spacing w:line="360"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《碳素结构钢》GB/T 700-2006</w:t>
      </w:r>
    </w:p>
    <w:p>
      <w:pPr>
        <w:numPr>
          <w:numId w:val="0"/>
        </w:numPr>
        <w:spacing w:line="360"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《非合金钢及细晶粒钢焊条》GB/T 5117-2012</w:t>
      </w:r>
    </w:p>
    <w:p>
      <w:pPr>
        <w:numPr>
          <w:numId w:val="0"/>
        </w:numPr>
        <w:spacing w:line="360"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《工业设备及管道防腐蚀工程技术标准》GB/T 50726-2023</w:t>
      </w:r>
    </w:p>
    <w:p>
      <w:pPr>
        <w:numPr>
          <w:numId w:val="0"/>
        </w:numPr>
        <w:spacing w:line="360"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zh-CN" w:eastAsia="zh-CN"/>
        </w:rPr>
        <w:t>2）供货界限：设备进出口法兰，附带配对法兰、垫片、紧固件，法兰连接标准为GB/T9124.1-2019（管道外径按系列II），压力等级PN1.0MPa。</w:t>
      </w:r>
    </w:p>
    <w:p>
      <w:pPr>
        <w:numPr>
          <w:ilvl w:val="0"/>
          <w:numId w:val="2"/>
        </w:numPr>
        <w:spacing w:line="360" w:lineRule="auto"/>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项目要求</w:t>
      </w:r>
    </w:p>
    <w:p>
      <w:pPr>
        <w:numPr>
          <w:numId w:val="0"/>
        </w:num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1.资质要求：营业执照应含有</w:t>
      </w:r>
      <w:r>
        <w:rPr>
          <w:rFonts w:hint="eastAsia" w:ascii="仿宋" w:hAnsi="仿宋" w:eastAsia="仿宋" w:cs="仿宋"/>
          <w:sz w:val="28"/>
          <w:szCs w:val="28"/>
          <w:u w:val="single"/>
          <w:lang w:val="en-US" w:eastAsia="zh-CN"/>
        </w:rPr>
        <w:t>设备及生产制造</w:t>
      </w:r>
      <w:r>
        <w:rPr>
          <w:rFonts w:hint="eastAsia" w:ascii="仿宋" w:hAnsi="仿宋" w:eastAsia="仿宋" w:cs="仿宋"/>
          <w:sz w:val="28"/>
          <w:szCs w:val="28"/>
          <w:lang w:val="en-US" w:eastAsia="zh-CN"/>
        </w:rPr>
        <w:t xml:space="preserve">相关项。   </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业绩要求：相关物资的采购协议或合同等。</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税率</w:t>
      </w:r>
      <w:r>
        <w:rPr>
          <w:rFonts w:hint="eastAsia" w:ascii="仿宋" w:hAnsi="仿宋" w:eastAsia="仿宋" w:cs="仿宋"/>
          <w:sz w:val="28"/>
          <w:szCs w:val="28"/>
          <w:lang w:val="en-US" w:eastAsia="zh-CN"/>
        </w:rPr>
        <w:t>及价格</w:t>
      </w:r>
      <w:r>
        <w:rPr>
          <w:rFonts w:hint="default" w:ascii="仿宋" w:hAnsi="仿宋" w:eastAsia="仿宋" w:cs="仿宋"/>
          <w:sz w:val="28"/>
          <w:szCs w:val="28"/>
          <w:lang w:val="en-US" w:eastAsia="zh-CN"/>
        </w:rPr>
        <w:t>：所有含税价格均为含</w:t>
      </w:r>
      <w:r>
        <w:rPr>
          <w:rFonts w:hint="eastAsia" w:ascii="仿宋" w:hAnsi="仿宋" w:eastAsia="仿宋" w:cs="仿宋"/>
          <w:sz w:val="28"/>
          <w:szCs w:val="28"/>
          <w:u w:val="single"/>
          <w:lang w:val="en-US" w:eastAsia="zh-CN"/>
        </w:rPr>
        <w:t xml:space="preserve"> 13 % </w:t>
      </w:r>
      <w:r>
        <w:rPr>
          <w:rFonts w:hint="default" w:ascii="仿宋" w:hAnsi="仿宋" w:eastAsia="仿宋" w:cs="仿宋"/>
          <w:sz w:val="28"/>
          <w:szCs w:val="28"/>
          <w:lang w:val="en-US" w:eastAsia="zh-CN"/>
        </w:rPr>
        <w:t>增值税专用发票价格。含税价格包含到河南省三门峡市产业集聚区209国道南侧河南中原黄金冶炼厂有限责任公司内指定地点的运输、装卸等费用。</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质保期：</w:t>
      </w:r>
      <w:r>
        <w:rPr>
          <w:rFonts w:hint="default" w:ascii="仿宋" w:hAnsi="仿宋" w:eastAsia="仿宋" w:cs="仿宋"/>
          <w:sz w:val="28"/>
          <w:szCs w:val="28"/>
          <w:lang w:val="en-US" w:eastAsia="zh-CN"/>
        </w:rPr>
        <w:t>该物资必须满足</w:t>
      </w:r>
      <w:r>
        <w:rPr>
          <w:rFonts w:hint="eastAsia" w:ascii="仿宋" w:hAnsi="仿宋" w:eastAsia="仿宋" w:cs="仿宋"/>
          <w:sz w:val="28"/>
          <w:szCs w:val="28"/>
          <w:lang w:val="en-US" w:eastAsia="zh-CN"/>
        </w:rPr>
        <w:t>河南中原黄金冶炼厂有限责任公司</w:t>
      </w:r>
      <w:r>
        <w:rPr>
          <w:rFonts w:hint="default" w:ascii="仿宋" w:hAnsi="仿宋" w:eastAsia="仿宋" w:cs="仿宋"/>
          <w:sz w:val="28"/>
          <w:szCs w:val="28"/>
          <w:lang w:val="en-US" w:eastAsia="zh-CN"/>
        </w:rPr>
        <w:t>实际生产要求，若因货物质量问题造成的直接或间接损失，所有退货或索赔引起的一切费用及损失均由送货单位承担。</w:t>
      </w:r>
    </w:p>
    <w:p>
      <w:pPr>
        <w:pStyle w:val="3"/>
        <w:keepNext w:val="0"/>
        <w:keepLines w:val="0"/>
        <w:widowControl/>
        <w:suppressLineNumbers w:val="0"/>
        <w:spacing w:before="0" w:beforeAutospacing="0" w:after="0" w:afterAutospacing="0"/>
        <w:ind w:left="0" w:firstLine="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付款方式：</w:t>
      </w:r>
      <w:r>
        <w:rPr>
          <w:rFonts w:ascii="仿宋" w:hAnsi="仿宋" w:eastAsia="仿宋" w:cs="仿宋"/>
          <w:sz w:val="28"/>
          <w:szCs w:val="28"/>
        </w:rPr>
        <w:t>合同签订后货到现场验收合格后支付合同总额</w:t>
      </w:r>
      <w:r>
        <w:rPr>
          <w:rFonts w:hint="eastAsia" w:ascii="仿宋" w:hAnsi="仿宋" w:eastAsia="仿宋" w:cs="仿宋"/>
          <w:sz w:val="28"/>
          <w:szCs w:val="28"/>
          <w:lang w:val="en-US" w:eastAsia="zh-CN"/>
        </w:rPr>
        <w:t>97</w:t>
      </w:r>
      <w:r>
        <w:rPr>
          <w:rFonts w:ascii="仿宋" w:hAnsi="仿宋" w:eastAsia="仿宋" w:cs="仿宋"/>
          <w:sz w:val="28"/>
          <w:szCs w:val="28"/>
        </w:rPr>
        <w:t>%</w:t>
      </w:r>
      <w:r>
        <w:rPr>
          <w:rFonts w:hint="eastAsia" w:ascii="仿宋" w:hAnsi="仿宋" w:eastAsia="仿宋" w:cs="仿宋"/>
          <w:sz w:val="28"/>
          <w:szCs w:val="28"/>
          <w:lang w:eastAsia="zh-CN"/>
        </w:rPr>
        <w:t>，</w:t>
      </w:r>
      <w:r>
        <w:rPr>
          <w:rFonts w:ascii="仿宋" w:hAnsi="仿宋" w:eastAsia="仿宋" w:cs="仿宋"/>
          <w:sz w:val="28"/>
          <w:szCs w:val="28"/>
        </w:rPr>
        <w:t>同时开具全额13%增值税专用发票，剩余合同总价的</w:t>
      </w:r>
      <w:r>
        <w:rPr>
          <w:rFonts w:hint="eastAsia" w:ascii="仿宋" w:hAnsi="仿宋" w:eastAsia="仿宋" w:cs="仿宋"/>
          <w:sz w:val="28"/>
          <w:szCs w:val="28"/>
          <w:lang w:val="en-US" w:eastAsia="zh-CN"/>
        </w:rPr>
        <w:t>3</w:t>
      </w:r>
      <w:r>
        <w:rPr>
          <w:rFonts w:ascii="仿宋" w:hAnsi="仿宋" w:eastAsia="仿宋" w:cs="仿宋"/>
          <w:sz w:val="28"/>
          <w:szCs w:val="28"/>
        </w:rPr>
        <w:t>%作为质量保证金，质量保证金在设备安装完成验收合格证书签署之日起连续正常运转12个月无质量问题或设备到厂18个月</w:t>
      </w:r>
      <w:r>
        <w:rPr>
          <w:rFonts w:hint="default" w:ascii="仿宋" w:hAnsi="仿宋" w:eastAsia="仿宋" w:cs="仿宋"/>
          <w:sz w:val="28"/>
          <w:szCs w:val="28"/>
          <w:lang w:val="en-US" w:eastAsia="zh-CN"/>
        </w:rPr>
        <w:t>。</w:t>
      </w:r>
    </w:p>
    <w:p>
      <w:pPr>
        <w:numPr>
          <w:ilvl w:val="0"/>
          <w:numId w:val="0"/>
        </w:numPr>
        <w:spacing w:line="36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到货周期：</w:t>
      </w:r>
      <w:r>
        <w:rPr>
          <w:rFonts w:hint="eastAsia" w:ascii="仿宋" w:hAnsi="仿宋" w:eastAsia="仿宋" w:cs="仿宋"/>
          <w:sz w:val="28"/>
          <w:szCs w:val="28"/>
          <w:lang w:val="en-US" w:eastAsia="zh-CN"/>
        </w:rPr>
        <w:t>预计2025年8月，具体到货接买方通知</w:t>
      </w:r>
      <w:r>
        <w:rPr>
          <w:rFonts w:hint="default" w:ascii="仿宋" w:hAnsi="仿宋" w:eastAsia="仿宋" w:cs="仿宋"/>
          <w:sz w:val="28"/>
          <w:szCs w:val="28"/>
          <w:lang w:val="en-US" w:eastAsia="zh-CN"/>
        </w:rPr>
        <w:t>。</w:t>
      </w:r>
    </w:p>
    <w:p>
      <w:pPr>
        <w:numPr>
          <w:ilvl w:val="0"/>
          <w:numId w:val="0"/>
        </w:num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要求厂家提供的资料</w:t>
      </w:r>
      <w:r>
        <w:rPr>
          <w:rFonts w:hint="eastAsia" w:ascii="仿宋" w:hAnsi="仿宋" w:eastAsia="仿宋" w:cs="仿宋"/>
          <w:sz w:val="28"/>
          <w:szCs w:val="28"/>
          <w:lang w:val="en-US" w:eastAsia="zh-CN"/>
        </w:rPr>
        <w:t>：</w:t>
      </w:r>
    </w:p>
    <w:p>
      <w:pPr>
        <w:numPr>
          <w:ilvl w:val="0"/>
          <w:numId w:val="0"/>
        </w:numPr>
        <w:spacing w:line="36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1）土建由买方负责，投标方负责向招标方提供准确的设备基础条件图及工艺平面布置图。</w:t>
      </w:r>
    </w:p>
    <w:p>
      <w:pPr>
        <w:numPr>
          <w:ilvl w:val="0"/>
          <w:numId w:val="0"/>
        </w:numPr>
        <w:spacing w:line="36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谈判当天未在规定时间内按要求发送报价的，视为弃权。</w:t>
      </w:r>
    </w:p>
    <w:p>
      <w:pPr>
        <w:numPr>
          <w:ilvl w:val="0"/>
          <w:numId w:val="0"/>
        </w:numPr>
        <w:spacing w:line="36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9.谈判项目报名单位在“中国执行信息公开网”查询中属失信被执行人的，视为无履约能力，不得报名参加，已报名的视为无效报名。</w:t>
      </w:r>
    </w:p>
    <w:p>
      <w:pPr>
        <w:pStyle w:val="3"/>
        <w:keepNext w:val="0"/>
        <w:keepLines w:val="0"/>
        <w:widowControl/>
        <w:suppressLineNumbers w:val="0"/>
        <w:spacing w:before="0" w:beforeAutospacing="0" w:after="0" w:afterAutospacing="0"/>
        <w:ind w:left="0" w:firstLine="0"/>
        <w:jc w:val="left"/>
        <w:rPr>
          <w:rFonts w:hint="eastAsia" w:eastAsia="仿宋"/>
          <w:lang w:eastAsia="zh-CN"/>
        </w:rPr>
      </w:pPr>
      <w:r>
        <w:rPr>
          <w:rFonts w:hint="eastAsia" w:ascii="仿宋" w:hAnsi="仿宋" w:eastAsia="仿宋" w:cs="仿宋"/>
          <w:color w:val="000000"/>
          <w:sz w:val="28"/>
          <w:szCs w:val="28"/>
          <w:lang w:val="en-US" w:eastAsia="zh-CN"/>
        </w:rPr>
        <w:t>10.</w:t>
      </w:r>
      <w:r>
        <w:rPr>
          <w:rFonts w:ascii="仿宋" w:hAnsi="仿宋" w:eastAsia="仿宋" w:cs="仿宋"/>
          <w:color w:val="000000"/>
          <w:sz w:val="28"/>
          <w:szCs w:val="28"/>
        </w:rPr>
        <w:t>若</w:t>
      </w:r>
      <w:r>
        <w:rPr>
          <w:rFonts w:hint="eastAsia" w:ascii="仿宋" w:hAnsi="仿宋" w:eastAsia="仿宋" w:cs="仿宋"/>
          <w:color w:val="000000"/>
          <w:sz w:val="28"/>
          <w:szCs w:val="28"/>
        </w:rPr>
        <w:t>谈判单位采取低于成本价的报价方式，评委将有权否决其谈判资格</w:t>
      </w:r>
      <w:r>
        <w:rPr>
          <w:rFonts w:hint="eastAsia" w:ascii="仿宋" w:hAnsi="仿宋" w:eastAsia="仿宋" w:cs="仿宋"/>
          <w:color w:val="000000"/>
          <w:sz w:val="28"/>
          <w:szCs w:val="28"/>
          <w:lang w:eastAsia="zh-CN"/>
        </w:rPr>
        <w:t>。</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366" w:firstLineChars="0"/>
        <w:jc w:val="left"/>
        <w:rPr>
          <w:rFonts w:hint="default"/>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F0253"/>
    <w:multiLevelType w:val="singleLevel"/>
    <w:tmpl w:val="DFCF0253"/>
    <w:lvl w:ilvl="0" w:tentative="0">
      <w:start w:val="1"/>
      <w:numFmt w:val="decimal"/>
      <w:lvlText w:val="%1."/>
      <w:lvlJc w:val="left"/>
      <w:pPr>
        <w:tabs>
          <w:tab w:val="left" w:pos="312"/>
        </w:tabs>
      </w:pPr>
    </w:lvl>
  </w:abstractNum>
  <w:abstractNum w:abstractNumId="1">
    <w:nsid w:val="47278D17"/>
    <w:multiLevelType w:val="singleLevel"/>
    <w:tmpl w:val="47278D17"/>
    <w:lvl w:ilvl="0" w:tentative="0">
      <w:start w:val="2"/>
      <w:numFmt w:val="chineseCounting"/>
      <w:suff w:val="nothing"/>
      <w:lvlText w:val="%1、"/>
      <w:lvlJc w:val="left"/>
      <w:rPr>
        <w:rFonts w:hint="eastAsia"/>
      </w:rPr>
    </w:lvl>
  </w:abstractNum>
  <w:abstractNum w:abstractNumId="2">
    <w:nsid w:val="5F1BCE1D"/>
    <w:multiLevelType w:val="singleLevel"/>
    <w:tmpl w:val="5F1BCE1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F4692"/>
    <w:rsid w:val="04F0022B"/>
    <w:rsid w:val="0DEB6780"/>
    <w:rsid w:val="21C91E9B"/>
    <w:rsid w:val="222D52E2"/>
    <w:rsid w:val="2C5F4692"/>
    <w:rsid w:val="35656368"/>
    <w:rsid w:val="475331E4"/>
    <w:rsid w:val="5BEC1E89"/>
    <w:rsid w:val="638E7A78"/>
    <w:rsid w:val="67752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outlineLvl w:val="2"/>
    </w:pPr>
    <w:rPr>
      <w:sz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华文仿宋" w:hAnsi="华文仿宋" w:eastAsia="华文仿宋" w:cs="华文仿宋"/>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1114</Words>
  <Characters>1248</Characters>
  <Lines>0</Lines>
  <Paragraphs>0</Paragraphs>
  <TotalTime>4</TotalTime>
  <ScaleCrop>false</ScaleCrop>
  <LinksUpToDate>false</LinksUpToDate>
  <CharactersWithSpaces>1268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2025-02-12T01:19:00Z</dcterms:created>
  <dc:creator>秦小木</dc:creator>
  <cp:lastModifiedBy>董航</cp:lastModifiedBy>
  <cp:lastPrinted>2025-02-12T02:13:00Z</cp:lastPrinted>
  <dcterms:modified xsi:type="dcterms:W3CDTF">2025-07-03T06:48:35Z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FB1275EF899E4B25A122E92314D58831</vt:lpwstr>
  </property>
  <property fmtid="{D5CDD505-2E9C-101B-9397-08002B2CF9AE}" pid="4" name="KSOTemplateDocerSaveRecord">
    <vt:lpwstr>eyJoZGlkIjoiMzM4MDMzOTRhZDk0NDMyM2E0MzczYWUzMzE5YjVkZmEiLCJ1c2VySWQiOiIyNzM0NTI0MzEifQ==</vt:lpwstr>
  </property>
</Properties>
</file>