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65F3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谈判项目要求</w:t>
      </w:r>
    </w:p>
    <w:p w14:paraId="679B3825">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一、项目概况</w:t>
      </w:r>
    </w:p>
    <w:p w14:paraId="0152E073">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河南中原黄金冶炼厂有限责任公司</w:t>
      </w:r>
      <w:r>
        <w:rPr>
          <w:rFonts w:hint="eastAsia" w:ascii="仿宋" w:hAnsi="仿宋" w:eastAsia="仿宋" w:cs="仿宋"/>
          <w:sz w:val="28"/>
          <w:szCs w:val="28"/>
          <w:lang w:eastAsia="zh-CN"/>
        </w:rPr>
        <w:t>现对该谈判</w:t>
      </w:r>
      <w:r>
        <w:rPr>
          <w:rFonts w:hint="eastAsia" w:ascii="仿宋" w:hAnsi="仿宋" w:eastAsia="仿宋" w:cs="仿宋"/>
          <w:sz w:val="28"/>
          <w:szCs w:val="28"/>
          <w:lang w:val="en-US" w:eastAsia="zh-CN"/>
        </w:rPr>
        <w:t>项目公开公示</w:t>
      </w:r>
      <w:r>
        <w:rPr>
          <w:rFonts w:hint="eastAsia" w:ascii="仿宋" w:hAnsi="仿宋" w:eastAsia="仿宋" w:cs="仿宋"/>
          <w:sz w:val="28"/>
          <w:szCs w:val="28"/>
        </w:rPr>
        <w:t>，请有</w:t>
      </w:r>
      <w:r>
        <w:rPr>
          <w:rFonts w:hint="eastAsia" w:ascii="仿宋" w:hAnsi="仿宋" w:eastAsia="仿宋" w:cs="仿宋"/>
          <w:sz w:val="28"/>
          <w:szCs w:val="28"/>
          <w:lang w:eastAsia="zh-CN"/>
        </w:rPr>
        <w:t>参与</w:t>
      </w:r>
      <w:r>
        <w:rPr>
          <w:rFonts w:hint="eastAsia" w:ascii="仿宋" w:hAnsi="仿宋" w:eastAsia="仿宋" w:cs="仿宋"/>
          <w:sz w:val="28"/>
          <w:szCs w:val="28"/>
        </w:rPr>
        <w:t>意向的供应商提交</w:t>
      </w:r>
      <w:r>
        <w:rPr>
          <w:rFonts w:hint="eastAsia" w:ascii="仿宋" w:hAnsi="仿宋" w:eastAsia="仿宋" w:cs="仿宋"/>
          <w:sz w:val="28"/>
          <w:szCs w:val="28"/>
          <w:lang w:eastAsia="zh-CN"/>
        </w:rPr>
        <w:t>报名表和相关资质文件</w:t>
      </w:r>
      <w:r>
        <w:rPr>
          <w:rFonts w:hint="eastAsia" w:ascii="仿宋" w:hAnsi="仿宋" w:eastAsia="仿宋" w:cs="仿宋"/>
          <w:sz w:val="28"/>
          <w:szCs w:val="28"/>
        </w:rPr>
        <w:t>。</w:t>
      </w:r>
    </w:p>
    <w:p w14:paraId="15B5BFD9">
      <w:pPr>
        <w:numPr>
          <w:ilvl w:val="0"/>
          <w:numId w:val="1"/>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谈判项目编号：</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 YGCG2025118      </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none"/>
          <w:lang w:val="en-US" w:eastAsia="zh-CN"/>
        </w:rPr>
        <w:t>。</w:t>
      </w:r>
    </w:p>
    <w:p w14:paraId="2A82BEA0">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项目名称：河南中原黄金冶炼厂有限责任公司</w:t>
      </w:r>
      <w:r>
        <w:rPr>
          <w:rFonts w:hint="eastAsia" w:ascii="仿宋" w:hAnsi="仿宋" w:eastAsia="仿宋" w:cs="仿宋"/>
          <w:sz w:val="28"/>
          <w:szCs w:val="28"/>
          <w:u w:val="single"/>
          <w:lang w:val="en-US" w:eastAsia="zh-CN"/>
        </w:rPr>
        <w:t>危废渣项目铅电解循环水箱采购</w:t>
      </w:r>
      <w:r>
        <w:rPr>
          <w:rFonts w:hint="eastAsia" w:ascii="仿宋" w:hAnsi="仿宋" w:eastAsia="仿宋" w:cs="仿宋"/>
          <w:sz w:val="28"/>
          <w:szCs w:val="28"/>
          <w:lang w:val="en-US" w:eastAsia="zh-CN"/>
        </w:rPr>
        <w:t>。</w:t>
      </w:r>
    </w:p>
    <w:p w14:paraId="654557E3">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业务管理部门:</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工程部</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none"/>
          <w:lang w:val="en-US" w:eastAsia="zh-CN"/>
        </w:rPr>
        <w:t>。</w:t>
      </w:r>
    </w:p>
    <w:p w14:paraId="2F6C65D6">
      <w:pPr>
        <w:numPr>
          <w:ilvl w:val="0"/>
          <w:numId w:val="2"/>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tbl>
      <w:tblPr>
        <w:tblStyle w:val="4"/>
        <w:tblW w:w="7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2176"/>
        <w:gridCol w:w="758"/>
        <w:gridCol w:w="3308"/>
      </w:tblGrid>
      <w:tr w14:paraId="51FC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tcPr>
          <w:p w14:paraId="2E65210E">
            <w:pPr>
              <w:numPr>
                <w:ilvl w:val="0"/>
                <w:numId w:val="0"/>
              </w:numPr>
              <w:spacing w:line="360" w:lineRule="auto"/>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2176" w:type="dxa"/>
          </w:tcPr>
          <w:p w14:paraId="41264A14">
            <w:pPr>
              <w:numPr>
                <w:ilvl w:val="0"/>
                <w:numId w:val="0"/>
              </w:numPr>
              <w:spacing w:line="360" w:lineRule="auto"/>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规格型号</w:t>
            </w:r>
          </w:p>
        </w:tc>
        <w:tc>
          <w:tcPr>
            <w:tcW w:w="758" w:type="dxa"/>
          </w:tcPr>
          <w:p w14:paraId="77E4CB4C">
            <w:pPr>
              <w:numPr>
                <w:ilvl w:val="0"/>
                <w:numId w:val="0"/>
              </w:numPr>
              <w:spacing w:line="360" w:lineRule="auto"/>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3308" w:type="dxa"/>
          </w:tcPr>
          <w:p w14:paraId="3DCCCD00">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14:paraId="5C77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670" w:type="dxa"/>
          </w:tcPr>
          <w:p w14:paraId="5D42436F">
            <w:pPr>
              <w:numPr>
                <w:ilvl w:val="0"/>
                <w:numId w:val="0"/>
              </w:numPr>
              <w:spacing w:line="240" w:lineRule="auto"/>
              <w:jc w:val="center"/>
              <w:rPr>
                <w:rFonts w:hint="eastAsia" w:ascii="仿宋" w:hAnsi="仿宋" w:eastAsia="仿宋" w:cs="仿宋"/>
                <w:sz w:val="28"/>
                <w:szCs w:val="28"/>
                <w:vertAlign w:val="baseline"/>
                <w:lang w:val="en-US" w:eastAsia="zh-CN"/>
              </w:rPr>
            </w:pPr>
          </w:p>
          <w:p w14:paraId="13CDB442">
            <w:pPr>
              <w:numPr>
                <w:ilvl w:val="0"/>
                <w:numId w:val="0"/>
              </w:numPr>
              <w:spacing w:line="24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循环水箱</w:t>
            </w:r>
          </w:p>
        </w:tc>
        <w:tc>
          <w:tcPr>
            <w:tcW w:w="2176" w:type="dxa"/>
          </w:tcPr>
          <w:p w14:paraId="02897A15">
            <w:pPr>
              <w:numPr>
                <w:ilvl w:val="0"/>
                <w:numId w:val="0"/>
              </w:numPr>
              <w:spacing w:line="240" w:lineRule="auto"/>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2000*1000*1000</w:t>
            </w:r>
          </w:p>
          <w:p w14:paraId="386CE8D4">
            <w:pPr>
              <w:numPr>
                <w:ilvl w:val="0"/>
                <w:numId w:val="0"/>
              </w:numPr>
              <w:spacing w:line="240" w:lineRule="auto"/>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材质：304</w:t>
            </w:r>
          </w:p>
        </w:tc>
        <w:tc>
          <w:tcPr>
            <w:tcW w:w="758" w:type="dxa"/>
          </w:tcPr>
          <w:p w14:paraId="7D2AFA78">
            <w:pPr>
              <w:numPr>
                <w:ilvl w:val="0"/>
                <w:numId w:val="0"/>
              </w:numPr>
              <w:spacing w:line="360" w:lineRule="auto"/>
              <w:jc w:val="left"/>
              <w:rPr>
                <w:rFonts w:hint="eastAsia" w:ascii="仿宋" w:hAnsi="仿宋" w:eastAsia="仿宋" w:cs="仿宋"/>
                <w:sz w:val="28"/>
                <w:szCs w:val="28"/>
                <w:vertAlign w:val="baseline"/>
                <w:lang w:val="en-US" w:eastAsia="zh-CN"/>
              </w:rPr>
            </w:pPr>
          </w:p>
          <w:p w14:paraId="3A61DDE1">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1台</w:t>
            </w:r>
          </w:p>
        </w:tc>
        <w:tc>
          <w:tcPr>
            <w:tcW w:w="3308" w:type="dxa"/>
          </w:tcPr>
          <w:p w14:paraId="0DD5EC30">
            <w:pPr>
              <w:numPr>
                <w:numId w:val="0"/>
              </w:numPr>
              <w:spacing w:line="240" w:lineRule="auto"/>
              <w:ind w:left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包含水箱本体、就地玻璃管液位计、内外爬梯、栏杆、管口、通气口、人孔、底座等</w:t>
            </w:r>
          </w:p>
        </w:tc>
      </w:tr>
    </w:tbl>
    <w:p w14:paraId="17CAA30E">
      <w:pPr>
        <w:numPr>
          <w:ilvl w:val="0"/>
          <w:numId w:val="0"/>
        </w:numPr>
        <w:spacing w:line="360" w:lineRule="auto"/>
        <w:jc w:val="both"/>
        <w:rPr>
          <w:rFonts w:hint="default" w:ascii="仿宋" w:hAnsi="仿宋" w:eastAsia="仿宋" w:cs="仿宋"/>
          <w:sz w:val="28"/>
          <w:szCs w:val="28"/>
          <w:lang w:val="en-US" w:eastAsia="zh-CN"/>
        </w:rPr>
      </w:pPr>
    </w:p>
    <w:p w14:paraId="24CF8F24">
      <w:pPr>
        <w:numPr>
          <w:ilvl w:val="0"/>
          <w:numId w:val="0"/>
        </w:numPr>
        <w:spacing w:line="360" w:lineRule="auto"/>
        <w:jc w:val="lef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技术要求：</w:t>
      </w:r>
    </w:p>
    <w:p w14:paraId="5BA47BBC">
      <w:pPr>
        <w:numPr>
          <w:ilvl w:val="0"/>
          <w:numId w:val="3"/>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介质情况：</w:t>
      </w:r>
    </w:p>
    <w:p w14:paraId="0486361F">
      <w:pPr>
        <w:numPr>
          <w:ilvl w:val="0"/>
          <w:numId w:val="3"/>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循环水（SS≦</w:t>
      </w:r>
      <w:r>
        <w:rPr>
          <w:rFonts w:hint="eastAsia" w:ascii="仿宋" w:hAnsi="仿宋" w:eastAsia="仿宋" w:cs="仿宋"/>
          <w:sz w:val="28"/>
          <w:szCs w:val="28"/>
          <w:lang w:val="en-US" w:eastAsia="zh-CN"/>
        </w:rPr>
        <w:t>5</w:t>
      </w:r>
      <w:r>
        <w:rPr>
          <w:rFonts w:hint="eastAsia" w:ascii="仿宋" w:hAnsi="仿宋" w:eastAsia="仿宋" w:cs="仿宋"/>
          <w:sz w:val="28"/>
          <w:szCs w:val="28"/>
          <w:lang w:val="zh-CN" w:eastAsia="zh-CN"/>
        </w:rPr>
        <w:t>0mg/L；正常pH：6~9；温度5~50℃；比重1.0）。</w:t>
      </w:r>
    </w:p>
    <w:p w14:paraId="49EAE916">
      <w:pPr>
        <w:numPr>
          <w:ilvl w:val="0"/>
          <w:numId w:val="3"/>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操作情况：运行状态：连续运</w:t>
      </w:r>
      <w:r>
        <w:rPr>
          <w:rFonts w:hint="eastAsia" w:ascii="仿宋" w:hAnsi="仿宋" w:eastAsia="仿宋" w:cs="仿宋"/>
          <w:sz w:val="28"/>
          <w:szCs w:val="28"/>
          <w:lang w:val="en-US" w:eastAsia="zh-CN"/>
        </w:rPr>
        <w:t>行</w:t>
      </w:r>
      <w:r>
        <w:rPr>
          <w:rFonts w:hint="eastAsia" w:ascii="仿宋" w:hAnsi="仿宋" w:eastAsia="仿宋" w:cs="仿宋"/>
          <w:sz w:val="28"/>
          <w:szCs w:val="28"/>
          <w:lang w:val="zh-CN" w:eastAsia="zh-CN"/>
        </w:rPr>
        <w:t>。</w:t>
      </w:r>
    </w:p>
    <w:p w14:paraId="443A4B41">
      <w:pPr>
        <w:numPr>
          <w:ilvl w:val="0"/>
          <w:numId w:val="3"/>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技术参数及性能要求</w:t>
      </w:r>
    </w:p>
    <w:p w14:paraId="1935DC71">
      <w:pPr>
        <w:numPr>
          <w:numId w:val="0"/>
        </w:numPr>
        <w:spacing w:line="360" w:lineRule="auto"/>
        <w:ind w:firstLine="280" w:firstLineChars="100"/>
        <w:jc w:val="both"/>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（1）矩形水箱1</w:t>
      </w:r>
      <w:r>
        <w:rPr>
          <w:rFonts w:hint="eastAsia" w:ascii="仿宋" w:hAnsi="仿宋" w:eastAsia="仿宋" w:cs="仿宋"/>
          <w:sz w:val="28"/>
          <w:szCs w:val="28"/>
          <w:lang w:val="zh-CN" w:eastAsia="zh-CN"/>
        </w:rPr>
        <w:t>台，</w:t>
      </w:r>
      <w:r>
        <w:rPr>
          <w:rFonts w:hint="eastAsia" w:ascii="仿宋" w:hAnsi="仿宋" w:eastAsia="仿宋" w:cs="仿宋"/>
          <w:sz w:val="28"/>
          <w:szCs w:val="28"/>
          <w:lang w:val="en-US" w:eastAsia="zh-CN"/>
        </w:rPr>
        <w:t>尺寸：L×B×H=2.0m×1.0m×1.0m</w:t>
      </w:r>
      <w:r>
        <w:rPr>
          <w:rFonts w:hint="eastAsia" w:ascii="仿宋" w:hAnsi="仿宋" w:eastAsia="仿宋" w:cs="仿宋"/>
          <w:sz w:val="28"/>
          <w:szCs w:val="28"/>
          <w:lang w:val="zh-CN" w:eastAsia="zh-CN"/>
        </w:rPr>
        <w:t>。</w:t>
      </w:r>
    </w:p>
    <w:p w14:paraId="41D812A8">
      <w:pPr>
        <w:numPr>
          <w:numId w:val="0"/>
        </w:num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（2）水箱及附件材质</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不锈钢304。</w:t>
      </w:r>
    </w:p>
    <w:p w14:paraId="138CC11B">
      <w:pPr>
        <w:numPr>
          <w:numId w:val="0"/>
        </w:numPr>
        <w:spacing w:line="360" w:lineRule="auto"/>
        <w:jc w:val="both"/>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（3）水箱壁厚：箱底、侧板壁厚≥5mm，箱顶≥3mm</w:t>
      </w:r>
      <w:r>
        <w:rPr>
          <w:rFonts w:hint="eastAsia" w:ascii="仿宋" w:hAnsi="仿宋" w:eastAsia="仿宋" w:cs="仿宋"/>
          <w:sz w:val="28"/>
          <w:szCs w:val="28"/>
          <w:lang w:val="zh-CN" w:eastAsia="zh-CN"/>
        </w:rPr>
        <w:t>。</w:t>
      </w:r>
    </w:p>
    <w:p w14:paraId="26397132">
      <w:pPr>
        <w:numPr>
          <w:numId w:val="0"/>
        </w:num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（4）水箱的管口、人孔等位置需按照设计院施工图纸制作。（见附件图纸）</w:t>
      </w:r>
    </w:p>
    <w:p w14:paraId="528FE703">
      <w:pPr>
        <w:numPr>
          <w:ilvl w:val="0"/>
          <w:numId w:val="3"/>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其他（相关标准、噪声等）</w:t>
      </w:r>
    </w:p>
    <w:p w14:paraId="5F241476">
      <w:pPr>
        <w:numPr>
          <w:numId w:val="0"/>
        </w:num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（1）水箱的制造、检验（试验）和验收应遵循下列标准及规范：</w:t>
      </w:r>
    </w:p>
    <w:p w14:paraId="53CDDEC8">
      <w:pPr>
        <w:numPr>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《矩形给水箱》国家标准图集12S101</w:t>
      </w:r>
    </w:p>
    <w:p w14:paraId="1441CB67">
      <w:pPr>
        <w:numPr>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《涂覆涂料前钢材表面处理表面清洁度的目视评定 第1部分：未涂覆过的钢材表面和全面清除原有涂层后的钢材表面锈蚀等级和处理等级》GB8923.1-2011</w:t>
      </w:r>
    </w:p>
    <w:p w14:paraId="12440654">
      <w:pPr>
        <w:numPr>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《碳素结构钢》GB/T 700-2006</w:t>
      </w:r>
    </w:p>
    <w:p w14:paraId="2EFD8462">
      <w:pPr>
        <w:numPr>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《非合金钢及细晶粒钢焊条》GB/T 5117-2012</w:t>
      </w:r>
    </w:p>
    <w:p w14:paraId="0C2D0019">
      <w:pPr>
        <w:numPr>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《工业设备及管道防腐蚀工程技术标准》GB/T 50726-2023</w:t>
      </w:r>
    </w:p>
    <w:p w14:paraId="37A3F50E">
      <w:pPr>
        <w:numPr>
          <w:numId w:val="0"/>
        </w:numPr>
        <w:spacing w:line="360" w:lineRule="auto"/>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val="zh-CN" w:eastAsia="zh-CN"/>
        </w:rPr>
        <w:t>）供货界限：设备进出口法兰，附带配对法兰、垫片、紧固件，法兰连接标准为GB/T9124.1-2019（管道外径按系列II），压力等级PN1.0MPa。</w:t>
      </w:r>
    </w:p>
    <w:p w14:paraId="0A9C8227">
      <w:pPr>
        <w:numPr>
          <w:ilvl w:val="0"/>
          <w:numId w:val="3"/>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谈判报价按照设备部分明细表报价，并应当注明各明细单价及小计、税率、总价等，并注明使用品牌，最终形成谈判报价总价。</w:t>
      </w:r>
    </w:p>
    <w:p w14:paraId="7278C832">
      <w:pPr>
        <w:numPr>
          <w:ilvl w:val="0"/>
          <w:numId w:val="2"/>
        </w:numPr>
        <w:spacing w:line="360" w:lineRule="auto"/>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项目要求</w:t>
      </w:r>
    </w:p>
    <w:p w14:paraId="20D522AA">
      <w:pPr>
        <w:numPr>
          <w:ilvl w:val="0"/>
          <w:numId w:val="3"/>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资质要求：营业执照应含有 </w:t>
      </w:r>
      <w:r>
        <w:rPr>
          <w:rFonts w:hint="eastAsia" w:ascii="仿宋" w:hAnsi="仿宋" w:eastAsia="仿宋" w:cs="仿宋"/>
          <w:sz w:val="28"/>
          <w:szCs w:val="28"/>
          <w:u w:val="single"/>
          <w:lang w:val="en-US" w:eastAsia="zh-CN"/>
        </w:rPr>
        <w:t xml:space="preserve">机械设备制造加工 </w:t>
      </w:r>
      <w:r>
        <w:rPr>
          <w:rFonts w:hint="eastAsia" w:ascii="仿宋" w:hAnsi="仿宋" w:eastAsia="仿宋" w:cs="仿宋"/>
          <w:sz w:val="28"/>
          <w:szCs w:val="28"/>
          <w:lang w:val="en-US" w:eastAsia="zh-CN"/>
        </w:rPr>
        <w:t xml:space="preserve">相关项。   </w:t>
      </w:r>
    </w:p>
    <w:p w14:paraId="32141E84">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业绩要求：</w:t>
      </w:r>
      <w:r>
        <w:rPr>
          <w:rFonts w:hint="eastAsia" w:ascii="仿宋" w:hAnsi="仿宋" w:eastAsia="仿宋" w:cs="仿宋"/>
          <w:sz w:val="28"/>
          <w:szCs w:val="28"/>
          <w:lang w:val="en-US" w:eastAsia="zh-CN"/>
        </w:rPr>
        <w:t>无</w:t>
      </w:r>
      <w:r>
        <w:rPr>
          <w:rFonts w:hint="default" w:ascii="仿宋" w:hAnsi="仿宋" w:eastAsia="仿宋" w:cs="仿宋"/>
          <w:sz w:val="28"/>
          <w:szCs w:val="28"/>
          <w:lang w:val="en-US" w:eastAsia="zh-CN"/>
        </w:rPr>
        <w:t>。</w:t>
      </w:r>
    </w:p>
    <w:p w14:paraId="56A13A8B">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税率</w:t>
      </w:r>
      <w:r>
        <w:rPr>
          <w:rFonts w:hint="eastAsia" w:ascii="仿宋" w:hAnsi="仿宋" w:eastAsia="仿宋" w:cs="仿宋"/>
          <w:sz w:val="28"/>
          <w:szCs w:val="28"/>
          <w:lang w:val="en-US" w:eastAsia="zh-CN"/>
        </w:rPr>
        <w:t>及价格</w:t>
      </w:r>
      <w:r>
        <w:rPr>
          <w:rFonts w:hint="default" w:ascii="仿宋" w:hAnsi="仿宋" w:eastAsia="仿宋" w:cs="仿宋"/>
          <w:sz w:val="28"/>
          <w:szCs w:val="28"/>
          <w:lang w:val="en-US" w:eastAsia="zh-CN"/>
        </w:rPr>
        <w:t>：所有含税价格均为含</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lang w:val="en-US" w:eastAsia="zh-CN"/>
        </w:rPr>
        <w:tab/>
      </w:r>
      <w:r>
        <w:rPr>
          <w:rFonts w:hint="default" w:ascii="仿宋" w:hAnsi="仿宋" w:eastAsia="仿宋" w:cs="仿宋"/>
          <w:sz w:val="28"/>
          <w:szCs w:val="28"/>
          <w:lang w:val="en-US" w:eastAsia="zh-CN"/>
        </w:rPr>
        <w:t>增值税专用发票价格</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含税价格包含</w:t>
      </w:r>
      <w:r>
        <w:rPr>
          <w:rFonts w:hint="eastAsia" w:ascii="仿宋" w:hAnsi="仿宋" w:eastAsia="仿宋" w:cs="仿宋"/>
          <w:sz w:val="28"/>
          <w:szCs w:val="28"/>
          <w:lang w:val="en-US" w:eastAsia="zh-CN"/>
        </w:rPr>
        <w:t>制造、运输、装卸</w:t>
      </w:r>
      <w:r>
        <w:rPr>
          <w:rFonts w:hint="default" w:ascii="仿宋" w:hAnsi="仿宋" w:eastAsia="仿宋" w:cs="仿宋"/>
          <w:sz w:val="28"/>
          <w:szCs w:val="28"/>
          <w:lang w:val="en-US" w:eastAsia="zh-CN"/>
        </w:rPr>
        <w:t>费用</w:t>
      </w:r>
      <w:r>
        <w:rPr>
          <w:rFonts w:hint="eastAsia" w:ascii="仿宋" w:hAnsi="仿宋" w:eastAsia="仿宋" w:cs="仿宋"/>
          <w:sz w:val="28"/>
          <w:szCs w:val="28"/>
          <w:lang w:val="en-US" w:eastAsia="zh-CN"/>
        </w:rPr>
        <w:t>。</w:t>
      </w:r>
    </w:p>
    <w:p w14:paraId="0DBF954E">
      <w:pPr>
        <w:numPr>
          <w:ilvl w:val="0"/>
          <w:numId w:val="3"/>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质保期：到货验收合格后一年为质保期</w:t>
      </w:r>
      <w:r>
        <w:rPr>
          <w:rFonts w:hint="default" w:ascii="仿宋" w:hAnsi="仿宋" w:eastAsia="仿宋" w:cs="仿宋"/>
          <w:sz w:val="28"/>
          <w:szCs w:val="28"/>
          <w:lang w:val="en-US" w:eastAsia="zh-CN"/>
        </w:rPr>
        <w:t>。</w:t>
      </w:r>
    </w:p>
    <w:p w14:paraId="737ADAF9">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付款方式：</w:t>
      </w:r>
      <w:r>
        <w:rPr>
          <w:rFonts w:hint="eastAsia" w:ascii="仿宋" w:hAnsi="仿宋" w:eastAsia="仿宋" w:cs="仿宋"/>
          <w:sz w:val="28"/>
          <w:szCs w:val="28"/>
          <w:lang w:val="en-US" w:eastAsia="zh-CN"/>
        </w:rPr>
        <w:t>到货验收合格后，付合同总价97%，剩余合同总价的3%作为质保金，待一年质保期满后经承包商申请后一次性无息结清</w:t>
      </w:r>
      <w:r>
        <w:rPr>
          <w:rFonts w:hint="default" w:ascii="仿宋" w:hAnsi="仿宋" w:eastAsia="仿宋" w:cs="仿宋"/>
          <w:sz w:val="28"/>
          <w:szCs w:val="28"/>
          <w:lang w:val="en-US" w:eastAsia="zh-CN"/>
        </w:rPr>
        <w:t>。</w:t>
      </w:r>
    </w:p>
    <w:p w14:paraId="2D6CCCC9">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到货周期：</w:t>
      </w:r>
      <w:r>
        <w:rPr>
          <w:rFonts w:hint="eastAsia" w:ascii="仿宋" w:hAnsi="仿宋" w:eastAsia="仿宋" w:cs="仿宋"/>
          <w:sz w:val="28"/>
          <w:szCs w:val="28"/>
          <w:lang w:val="en-US" w:eastAsia="zh-CN"/>
        </w:rPr>
        <w:t>无</w:t>
      </w:r>
      <w:r>
        <w:rPr>
          <w:rFonts w:hint="default" w:ascii="仿宋" w:hAnsi="仿宋" w:eastAsia="仿宋" w:cs="仿宋"/>
          <w:sz w:val="28"/>
          <w:szCs w:val="28"/>
          <w:lang w:val="en-US" w:eastAsia="zh-CN"/>
        </w:rPr>
        <w:t>。</w:t>
      </w:r>
    </w:p>
    <w:p w14:paraId="3C55629C">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工期：</w:t>
      </w:r>
      <w:r>
        <w:rPr>
          <w:rFonts w:hint="eastAsia" w:ascii="仿宋" w:hAnsi="仿宋" w:eastAsia="仿宋" w:cs="仿宋"/>
          <w:sz w:val="28"/>
          <w:szCs w:val="28"/>
          <w:u w:val="single"/>
          <w:lang w:val="en-US" w:eastAsia="zh-CN"/>
        </w:rPr>
        <w:t>具体以业务管理部门实际通知开工日期开始计算，20个日历日货物送到现场。</w:t>
      </w:r>
    </w:p>
    <w:p w14:paraId="7F88A5D9">
      <w:pPr>
        <w:numPr>
          <w:ilvl w:val="0"/>
          <w:numId w:val="3"/>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报名单位需在报名表中注明报名项目名称。将谈判文件（包含营业执照、法人身份证明书及身份证复印件。授权委托书及身份证复印件等）一同发至邮箱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"mailto:fkb@zysmelter.comyouxiang" </w:instrText>
      </w:r>
      <w:r>
        <w:rPr>
          <w:rFonts w:hint="eastAsia" w:ascii="仿宋" w:hAnsi="仿宋" w:eastAsia="仿宋" w:cs="仿宋"/>
          <w:sz w:val="28"/>
          <w:szCs w:val="28"/>
          <w:lang w:val="en-US" w:eastAsia="zh-CN"/>
        </w:rPr>
        <w:fldChar w:fldCharType="separate"/>
      </w:r>
      <w:r>
        <w:rPr>
          <w:rStyle w:val="6"/>
          <w:rFonts w:hint="eastAsia" w:ascii="仿宋" w:hAnsi="仿宋" w:eastAsia="仿宋" w:cs="仿宋"/>
          <w:sz w:val="28"/>
          <w:szCs w:val="28"/>
          <w:lang w:val="en-US" w:eastAsia="zh-CN"/>
        </w:rPr>
        <w:t>fkb@zysmelter.com</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，邮件主题统一格式为[项目名称]+[供应商全称]。</w:t>
      </w:r>
    </w:p>
    <w:p w14:paraId="2E262709">
      <w:pPr>
        <w:numPr>
          <w:numId w:val="0"/>
        </w:num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谈判当天未在规定时间内按要求发送报价的，视为弃权。</w:t>
      </w:r>
    </w:p>
    <w:p w14:paraId="38EA0FA6">
      <w:pPr>
        <w:numPr>
          <w:ilvl w:val="0"/>
          <w:numId w:val="0"/>
        </w:num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16.谈判项目报名单位在“中国执行信息公开网”查询中属失信被执行人的，视为无履约能力，不得报名参加，已报名的视为无效报名。</w:t>
      </w:r>
    </w:p>
    <w:p w14:paraId="2FA21456">
      <w:pPr>
        <w:pStyle w:val="2"/>
        <w:keepNext w:val="0"/>
        <w:keepLines w:val="0"/>
        <w:widowControl/>
        <w:suppressLineNumbers w:val="0"/>
        <w:spacing w:before="0" w:beforeAutospacing="0" w:after="0" w:afterAutospacing="0"/>
        <w:ind w:left="0" w:firstLine="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17.</w:t>
      </w:r>
      <w:r>
        <w:rPr>
          <w:rFonts w:ascii="仿宋" w:hAnsi="仿宋" w:eastAsia="仿宋" w:cs="仿宋"/>
          <w:color w:val="000000"/>
          <w:sz w:val="28"/>
          <w:szCs w:val="28"/>
        </w:rPr>
        <w:t>若</w:t>
      </w:r>
      <w:r>
        <w:rPr>
          <w:rFonts w:hint="eastAsia" w:ascii="仿宋" w:hAnsi="仿宋" w:eastAsia="仿宋" w:cs="仿宋"/>
          <w:color w:val="000000"/>
          <w:sz w:val="28"/>
          <w:szCs w:val="28"/>
        </w:rPr>
        <w:t>谈判单位采取低于成本价的报价方式，评委将有权否决其谈判资格</w:t>
      </w:r>
      <w:r>
        <w:rPr>
          <w:rFonts w:hint="eastAsia" w:ascii="仿宋" w:hAnsi="仿宋" w:eastAsia="仿宋" w:cs="仿宋"/>
          <w:color w:val="000000"/>
          <w:sz w:val="28"/>
          <w:szCs w:val="28"/>
          <w:lang w:eastAsia="zh-CN"/>
        </w:rPr>
        <w:t>。</w:t>
      </w:r>
    </w:p>
    <w:p w14:paraId="28D3D703">
      <w:pPr>
        <w:pStyle w:val="2"/>
        <w:keepNext w:val="0"/>
        <w:keepLines w:val="0"/>
        <w:widowControl/>
        <w:suppressLineNumbers w:val="0"/>
        <w:spacing w:before="0" w:beforeAutospacing="0" w:after="0" w:afterAutospacing="0"/>
        <w:ind w:left="0" w:firstLine="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18.附件：</w:t>
      </w:r>
    </w:p>
    <w:p w14:paraId="0C51C91E">
      <w:pPr>
        <w:pStyle w:val="2"/>
        <w:keepNext w:val="0"/>
        <w:keepLines w:val="0"/>
        <w:widowControl/>
        <w:suppressLineNumbers w:val="0"/>
        <w:spacing w:before="0" w:beforeAutospacing="0" w:after="0" w:afterAutospacing="0"/>
        <w:ind w:left="0" w:firstLine="2520" w:firstLineChars="900"/>
        <w:jc w:val="left"/>
        <w:rPr>
          <w:rFonts w:hint="default" w:ascii="仿宋" w:hAnsi="仿宋" w:eastAsia="仿宋" w:cs="仿宋"/>
          <w:color w:val="000000"/>
          <w:w w:val="100"/>
          <w:sz w:val="28"/>
          <w:szCs w:val="28"/>
          <w:lang w:val="en-US" w:eastAsia="zh-CN"/>
        </w:rPr>
      </w:pPr>
      <w:r>
        <w:rPr>
          <w:rFonts w:hint="default" w:ascii="仿宋" w:hAnsi="仿宋" w:eastAsia="仿宋" w:cs="仿宋"/>
          <w:color w:val="000000"/>
          <w:w w:val="100"/>
          <w:sz w:val="28"/>
          <w:szCs w:val="28"/>
          <w:lang w:val="en-US" w:eastAsia="zh-CN"/>
        </w:rPr>
        <w:object>
          <v:shape id="_x0000_i1025" o:spt="75" type="#_x0000_t75" style="height:66pt;width:72.75pt;" o:ole="t" filled="f" o:preferrelative="t" stroked="f" coordsize="21600,21600">
            <v:fill on="f" focussize="0,0"/>
            <v:stroke on="f"/>
            <v:imagedata r:id="rId5" o:title=""/>
            <o:lock v:ext="edit" aspectratio="t"/>
            <w10:wrap type="none"/>
            <w10:anchorlock/>
          </v:shape>
          <o:OLEObject Type="Embed" ProgID="Package" ShapeID="_x0000_i1025" DrawAspect="Icon" ObjectID="_1468075725" r:id="rId4">
            <o:LockedField>false</o:LockedField>
          </o:OLEObject>
        </w:objec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F0253"/>
    <w:multiLevelType w:val="singleLevel"/>
    <w:tmpl w:val="DFCF0253"/>
    <w:lvl w:ilvl="0" w:tentative="0">
      <w:start w:val="1"/>
      <w:numFmt w:val="decimal"/>
      <w:lvlText w:val="%1."/>
      <w:lvlJc w:val="left"/>
      <w:pPr>
        <w:tabs>
          <w:tab w:val="left" w:pos="312"/>
        </w:tabs>
      </w:pPr>
    </w:lvl>
  </w:abstractNum>
  <w:abstractNum w:abstractNumId="1">
    <w:nsid w:val="47278D17"/>
    <w:multiLevelType w:val="singleLevel"/>
    <w:tmpl w:val="47278D17"/>
    <w:lvl w:ilvl="0" w:tentative="0">
      <w:start w:val="2"/>
      <w:numFmt w:val="chineseCounting"/>
      <w:suff w:val="nothing"/>
      <w:lvlText w:val="%1、"/>
      <w:lvlJc w:val="left"/>
      <w:rPr>
        <w:rFonts w:hint="eastAsia"/>
      </w:rPr>
    </w:lvl>
  </w:abstractNum>
  <w:abstractNum w:abstractNumId="2">
    <w:nsid w:val="5F1BCE1D"/>
    <w:multiLevelType w:val="singleLevel"/>
    <w:tmpl w:val="5F1BCE1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ZGJhMmY3OGYxYjE3N2NkYmRiZTYzMTA3MDgyMjcifQ=="/>
  </w:docVars>
  <w:rsids>
    <w:rsidRoot w:val="00000000"/>
    <w:rsid w:val="02EA4873"/>
    <w:rsid w:val="03127926"/>
    <w:rsid w:val="04671EF4"/>
    <w:rsid w:val="046F3155"/>
    <w:rsid w:val="055F3042"/>
    <w:rsid w:val="05A97997"/>
    <w:rsid w:val="07222878"/>
    <w:rsid w:val="080C0DE8"/>
    <w:rsid w:val="08BC1DD1"/>
    <w:rsid w:val="0A633666"/>
    <w:rsid w:val="0AB66BBC"/>
    <w:rsid w:val="0C7D3510"/>
    <w:rsid w:val="0D6E009B"/>
    <w:rsid w:val="0E715F49"/>
    <w:rsid w:val="0EFC1FA5"/>
    <w:rsid w:val="0FB029A1"/>
    <w:rsid w:val="0FB86276"/>
    <w:rsid w:val="109E0A4B"/>
    <w:rsid w:val="1134315E"/>
    <w:rsid w:val="127B54E8"/>
    <w:rsid w:val="13693592"/>
    <w:rsid w:val="149C34F4"/>
    <w:rsid w:val="1578764D"/>
    <w:rsid w:val="15C825A8"/>
    <w:rsid w:val="182A415C"/>
    <w:rsid w:val="18941CD2"/>
    <w:rsid w:val="19EC0A79"/>
    <w:rsid w:val="1B1A7868"/>
    <w:rsid w:val="229E4EB3"/>
    <w:rsid w:val="234C4E06"/>
    <w:rsid w:val="23B720F8"/>
    <w:rsid w:val="23CD03C9"/>
    <w:rsid w:val="261A02E3"/>
    <w:rsid w:val="27C34AE5"/>
    <w:rsid w:val="2BA07F9B"/>
    <w:rsid w:val="3714661A"/>
    <w:rsid w:val="371B2276"/>
    <w:rsid w:val="38D17518"/>
    <w:rsid w:val="38F11583"/>
    <w:rsid w:val="39E9498A"/>
    <w:rsid w:val="3B620A15"/>
    <w:rsid w:val="3B64270E"/>
    <w:rsid w:val="3CEC4BFF"/>
    <w:rsid w:val="3D522C22"/>
    <w:rsid w:val="3E55633E"/>
    <w:rsid w:val="3ECC6C3E"/>
    <w:rsid w:val="3ECF60F0"/>
    <w:rsid w:val="444E6DE3"/>
    <w:rsid w:val="45A55DFD"/>
    <w:rsid w:val="45B133F0"/>
    <w:rsid w:val="463B050F"/>
    <w:rsid w:val="47156CFF"/>
    <w:rsid w:val="47262F6D"/>
    <w:rsid w:val="473334EF"/>
    <w:rsid w:val="4BDC6398"/>
    <w:rsid w:val="4D716F40"/>
    <w:rsid w:val="4D7C38E7"/>
    <w:rsid w:val="4EC43D39"/>
    <w:rsid w:val="50701184"/>
    <w:rsid w:val="533832DF"/>
    <w:rsid w:val="53DF2BAD"/>
    <w:rsid w:val="55286102"/>
    <w:rsid w:val="556F788D"/>
    <w:rsid w:val="558D41B7"/>
    <w:rsid w:val="57B14B46"/>
    <w:rsid w:val="5A916B91"/>
    <w:rsid w:val="5C381321"/>
    <w:rsid w:val="5C490690"/>
    <w:rsid w:val="5E5456EC"/>
    <w:rsid w:val="5EE611DF"/>
    <w:rsid w:val="5F204209"/>
    <w:rsid w:val="62637F24"/>
    <w:rsid w:val="630121F6"/>
    <w:rsid w:val="64611B6B"/>
    <w:rsid w:val="68386205"/>
    <w:rsid w:val="68DC081C"/>
    <w:rsid w:val="68F760C0"/>
    <w:rsid w:val="6A6A370E"/>
    <w:rsid w:val="6CD05853"/>
    <w:rsid w:val="6E4A7901"/>
    <w:rsid w:val="6FE960C1"/>
    <w:rsid w:val="73470603"/>
    <w:rsid w:val="73C977A4"/>
    <w:rsid w:val="74E225E4"/>
    <w:rsid w:val="75720FA8"/>
    <w:rsid w:val="75D44EF5"/>
    <w:rsid w:val="76BF6E30"/>
    <w:rsid w:val="77F824E9"/>
    <w:rsid w:val="79F5267C"/>
    <w:rsid w:val="7CA97BB7"/>
    <w:rsid w:val="7EC4722A"/>
    <w:rsid w:val="7F09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846</Words>
  <Characters>908</Characters>
  <Lines>0</Lines>
  <Paragraphs>0</Paragraphs>
  <TotalTime>13</TotalTime>
  <ScaleCrop>false</ScaleCrop>
  <LinksUpToDate>false</LinksUpToDate>
  <CharactersWithSpaces>932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2024-01-15T07:00:00Z</dcterms:created>
  <dc:creator>Administrator</dc:creator>
  <cp:lastModifiedBy>[嘿哈][嘿哈][嘿哈]</cp:lastModifiedBy>
  <cp:lastPrinted>2024-12-02T08:32:00Z</cp:lastPrinted>
  <dcterms:modified xsi:type="dcterms:W3CDTF">2025-07-18T00:58:53Z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029366EC3F6049918CC7034D489C4DDD_12</vt:lpwstr>
  </property>
  <property fmtid="{D5CDD505-2E9C-101B-9397-08002B2CF9AE}" pid="4" name="KSOTemplateDocerSaveRecord">
    <vt:lpwstr>eyJoZGlkIjoiNmQyZGJhMmY3OGYxYjE3N2NkYmRiZTYzMTA3MDgyMjciLCJ1c2VySWQiOiIzODM3NzEyNTgifQ==</vt:lpwstr>
  </property>
</Properties>
</file>