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谈判项目要求</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一、项目概况</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河南中原黄金冶炼厂有限责任公司</w:t>
      </w:r>
      <w:r>
        <w:rPr>
          <w:rFonts w:hint="eastAsia" w:ascii="仿宋" w:hAnsi="仿宋" w:eastAsia="仿宋" w:cs="仿宋"/>
          <w:sz w:val="28"/>
          <w:szCs w:val="28"/>
          <w:lang w:eastAsia="zh-CN"/>
        </w:rPr>
        <w:t>现对该谈判</w:t>
      </w:r>
      <w:r>
        <w:rPr>
          <w:rFonts w:hint="eastAsia" w:ascii="仿宋" w:hAnsi="仿宋" w:eastAsia="仿宋" w:cs="仿宋"/>
          <w:sz w:val="28"/>
          <w:szCs w:val="28"/>
          <w:lang w:val="en-US" w:eastAsia="zh-CN"/>
        </w:rPr>
        <w:t>项目公开公示</w:t>
      </w:r>
      <w:r>
        <w:rPr>
          <w:rFonts w:hint="eastAsia" w:ascii="仿宋" w:hAnsi="仿宋" w:eastAsia="仿宋" w:cs="仿宋"/>
          <w:sz w:val="28"/>
          <w:szCs w:val="28"/>
        </w:rPr>
        <w:t>，请有</w:t>
      </w:r>
      <w:r>
        <w:rPr>
          <w:rFonts w:hint="eastAsia" w:ascii="仿宋" w:hAnsi="仿宋" w:eastAsia="仿宋" w:cs="仿宋"/>
          <w:sz w:val="28"/>
          <w:szCs w:val="28"/>
          <w:lang w:eastAsia="zh-CN"/>
        </w:rPr>
        <w:t>参与</w:t>
      </w:r>
      <w:r>
        <w:rPr>
          <w:rFonts w:hint="eastAsia" w:ascii="仿宋" w:hAnsi="仿宋" w:eastAsia="仿宋" w:cs="仿宋"/>
          <w:sz w:val="28"/>
          <w:szCs w:val="28"/>
        </w:rPr>
        <w:t>意向的供应商提交</w:t>
      </w:r>
      <w:r>
        <w:rPr>
          <w:rFonts w:hint="eastAsia" w:ascii="仿宋" w:hAnsi="仿宋" w:eastAsia="仿宋" w:cs="仿宋"/>
          <w:sz w:val="28"/>
          <w:szCs w:val="28"/>
          <w:lang w:eastAsia="zh-CN"/>
        </w:rPr>
        <w:t>报名表和相关资质文件</w:t>
      </w:r>
      <w:r>
        <w:rPr>
          <w:rFonts w:hint="eastAsia" w:ascii="仿宋" w:hAnsi="仿宋" w:eastAsia="仿宋" w:cs="仿宋"/>
          <w:sz w:val="28"/>
          <w:szCs w:val="28"/>
        </w:rPr>
        <w:t>。</w:t>
      </w:r>
    </w:p>
    <w:p>
      <w:pPr>
        <w:numPr>
          <w:ilvl w:val="0"/>
          <w:numId w:val="1"/>
        </w:num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谈判项目编号：</w:t>
      </w:r>
      <w:r>
        <w:rPr>
          <w:rFonts w:hint="eastAsia" w:ascii="仿宋" w:hAnsi="仿宋" w:eastAsia="仿宋" w:cs="仿宋"/>
          <w:sz w:val="28"/>
          <w:szCs w:val="28"/>
          <w:u w:val="single"/>
          <w:lang w:val="en-US" w:eastAsia="zh-CN"/>
        </w:rPr>
        <w:tab/>
      </w:r>
      <w:r>
        <w:rPr>
          <w:rFonts w:hint="eastAsia" w:ascii="仿宋" w:hAnsi="仿宋" w:eastAsia="仿宋" w:cs="仿宋"/>
          <w:color w:val="0000FF"/>
          <w:sz w:val="28"/>
          <w:szCs w:val="28"/>
          <w:u w:val="single"/>
          <w:lang w:val="en-US" w:eastAsia="zh-CN"/>
        </w:rPr>
        <w:t>YGCG2025136</w:t>
      </w:r>
      <w:r>
        <w:rPr>
          <w:rFonts w:hint="eastAsia" w:ascii="仿宋" w:hAnsi="仿宋" w:eastAsia="仿宋" w:cs="仿宋"/>
          <w:sz w:val="28"/>
          <w:szCs w:val="28"/>
          <w:u w:val="single"/>
          <w:lang w:val="en-US" w:eastAsia="zh-CN"/>
        </w:rPr>
        <w:tab/>
      </w:r>
      <w:r>
        <w:rPr>
          <w:rFonts w:hint="eastAsia" w:ascii="仿宋" w:hAnsi="仿宋" w:eastAsia="仿宋" w:cs="仿宋"/>
          <w:sz w:val="28"/>
          <w:szCs w:val="28"/>
          <w:u w:val="none"/>
          <w:lang w:val="en-US" w:eastAsia="zh-CN"/>
        </w:rPr>
        <w:t>。</w:t>
      </w:r>
    </w:p>
    <w:p>
      <w:pPr>
        <w:numPr>
          <w:ilvl w:val="0"/>
          <w:numId w:val="1"/>
        </w:num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项目名称：河南中原黄金冶炼厂有限责任公司</w:t>
      </w:r>
      <w:r>
        <w:rPr>
          <w:rFonts w:hint="eastAsia" w:ascii="仿宋" w:hAnsi="仿宋" w:eastAsia="仿宋" w:cs="仿宋"/>
          <w:sz w:val="28"/>
          <w:szCs w:val="28"/>
          <w:u w:val="single"/>
          <w:lang w:val="en-US" w:eastAsia="zh-CN"/>
        </w:rPr>
        <w:t>整体搬迁升级改造项目（危废渣资源化升级改造项目-危废渣熔炼车间桩基检测服务）</w:t>
      </w:r>
      <w:r>
        <w:rPr>
          <w:rFonts w:hint="eastAsia" w:ascii="仿宋" w:hAnsi="仿宋" w:eastAsia="仿宋" w:cs="仿宋"/>
          <w:sz w:val="28"/>
          <w:szCs w:val="28"/>
          <w:lang w:val="en-US" w:eastAsia="zh-CN"/>
        </w:rPr>
        <w:t>。</w:t>
      </w:r>
    </w:p>
    <w:p>
      <w:pPr>
        <w:numPr>
          <w:ilvl w:val="0"/>
          <w:numId w:val="1"/>
        </w:num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业务管理部门:</w:t>
      </w:r>
      <w:r>
        <w:rPr>
          <w:rFonts w:hint="eastAsia" w:ascii="仿宋" w:hAnsi="仿宋" w:eastAsia="仿宋" w:cs="仿宋"/>
          <w:sz w:val="28"/>
          <w:szCs w:val="28"/>
          <w:u w:val="single"/>
          <w:lang w:val="en-US" w:eastAsia="zh-CN"/>
        </w:rPr>
        <w:tab/>
      </w:r>
      <w:r>
        <w:rPr>
          <w:rFonts w:hint="eastAsia" w:ascii="仿宋" w:hAnsi="仿宋" w:eastAsia="仿宋" w:cs="仿宋"/>
          <w:sz w:val="28"/>
          <w:szCs w:val="28"/>
          <w:u w:val="single"/>
          <w:lang w:val="en-US" w:eastAsia="zh-CN"/>
        </w:rPr>
        <w:tab/>
      </w:r>
      <w:r>
        <w:rPr>
          <w:rFonts w:hint="eastAsia" w:ascii="仿宋" w:hAnsi="仿宋" w:eastAsia="仿宋" w:cs="仿宋"/>
          <w:sz w:val="28"/>
          <w:szCs w:val="28"/>
          <w:u w:val="single"/>
          <w:lang w:val="en-US" w:eastAsia="zh-CN"/>
        </w:rPr>
        <w:t>工程部</w:t>
      </w:r>
      <w:r>
        <w:rPr>
          <w:rFonts w:hint="eastAsia" w:ascii="仿宋" w:hAnsi="仿宋" w:eastAsia="仿宋" w:cs="仿宋"/>
          <w:sz w:val="28"/>
          <w:szCs w:val="28"/>
          <w:u w:val="single"/>
          <w:lang w:val="en-US" w:eastAsia="zh-CN"/>
        </w:rPr>
        <w:tab/>
      </w:r>
      <w:r>
        <w:rPr>
          <w:rFonts w:hint="eastAsia" w:ascii="仿宋" w:hAnsi="仿宋" w:eastAsia="仿宋" w:cs="仿宋"/>
          <w:sz w:val="28"/>
          <w:szCs w:val="28"/>
          <w:u w:val="single"/>
          <w:lang w:val="en-US" w:eastAsia="zh-CN"/>
        </w:rPr>
        <w:tab/>
      </w:r>
      <w:r>
        <w:rPr>
          <w:rFonts w:hint="eastAsia" w:ascii="仿宋" w:hAnsi="仿宋" w:eastAsia="仿宋" w:cs="仿宋"/>
          <w:sz w:val="28"/>
          <w:szCs w:val="28"/>
          <w:u w:val="none"/>
          <w:lang w:val="en-US" w:eastAsia="zh-CN"/>
        </w:rPr>
        <w:t>。</w:t>
      </w:r>
    </w:p>
    <w:p>
      <w:pPr>
        <w:numPr>
          <w:ilvl w:val="0"/>
          <w:numId w:val="2"/>
        </w:num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项目内容</w:t>
      </w:r>
    </w:p>
    <w:p>
      <w:pPr>
        <w:numPr>
          <w:ilvl w:val="0"/>
          <w:numId w:val="0"/>
        </w:num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明细表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1063"/>
        <w:gridCol w:w="2424"/>
        <w:gridCol w:w="2456"/>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vAlign w:val="center"/>
          </w:tcPr>
          <w:p>
            <w:pPr>
              <w:numPr>
                <w:ilvl w:val="0"/>
                <w:numId w:val="0"/>
              </w:numPr>
              <w:spacing w:line="36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桩型</w:t>
            </w:r>
          </w:p>
        </w:tc>
        <w:tc>
          <w:tcPr>
            <w:tcW w:w="1063" w:type="dxa"/>
            <w:vAlign w:val="center"/>
          </w:tcPr>
          <w:p>
            <w:pPr>
              <w:numPr>
                <w:ilvl w:val="0"/>
                <w:numId w:val="0"/>
              </w:num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有效</w:t>
            </w:r>
          </w:p>
          <w:p>
            <w:pPr>
              <w:numPr>
                <w:ilvl w:val="0"/>
                <w:numId w:val="0"/>
              </w:numPr>
              <w:spacing w:line="36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桩长</w:t>
            </w:r>
          </w:p>
        </w:tc>
        <w:tc>
          <w:tcPr>
            <w:tcW w:w="2424" w:type="dxa"/>
            <w:vAlign w:val="center"/>
          </w:tcPr>
          <w:p>
            <w:pPr>
              <w:numPr>
                <w:ilvl w:val="0"/>
                <w:numId w:val="0"/>
              </w:numPr>
              <w:spacing w:line="36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检测项目</w:t>
            </w:r>
          </w:p>
        </w:tc>
        <w:tc>
          <w:tcPr>
            <w:tcW w:w="2456" w:type="dxa"/>
            <w:vAlign w:val="center"/>
          </w:tcPr>
          <w:p>
            <w:pPr>
              <w:numPr>
                <w:ilvl w:val="0"/>
                <w:numId w:val="0"/>
              </w:numPr>
              <w:spacing w:line="36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最大加载量</w:t>
            </w:r>
          </w:p>
        </w:tc>
        <w:tc>
          <w:tcPr>
            <w:tcW w:w="1449" w:type="dxa"/>
            <w:vAlign w:val="center"/>
          </w:tcPr>
          <w:p>
            <w:pPr>
              <w:numPr>
                <w:ilvl w:val="0"/>
                <w:numId w:val="0"/>
              </w:numPr>
              <w:spacing w:line="36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检测数量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vMerge w:val="restart"/>
            <w:vAlign w:val="center"/>
          </w:tcPr>
          <w:p>
            <w:pPr>
              <w:numPr>
                <w:ilvl w:val="0"/>
                <w:numId w:val="0"/>
              </w:numPr>
              <w:spacing w:line="36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挤密桩</w:t>
            </w:r>
          </w:p>
        </w:tc>
        <w:tc>
          <w:tcPr>
            <w:tcW w:w="1063" w:type="dxa"/>
            <w:vMerge w:val="restart"/>
            <w:vAlign w:val="center"/>
          </w:tcPr>
          <w:p>
            <w:pPr>
              <w:numPr>
                <w:ilvl w:val="0"/>
                <w:numId w:val="0"/>
              </w:numPr>
              <w:spacing w:line="36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12m</w:t>
            </w:r>
          </w:p>
        </w:tc>
        <w:tc>
          <w:tcPr>
            <w:tcW w:w="2424" w:type="dxa"/>
            <w:vAlign w:val="center"/>
          </w:tcPr>
          <w:p>
            <w:pPr>
              <w:numPr>
                <w:ilvl w:val="0"/>
                <w:numId w:val="0"/>
              </w:num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复合地基静载试验</w:t>
            </w:r>
          </w:p>
        </w:tc>
        <w:tc>
          <w:tcPr>
            <w:tcW w:w="2456" w:type="dxa"/>
            <w:vAlign w:val="center"/>
          </w:tcPr>
          <w:p>
            <w:pPr>
              <w:numPr>
                <w:ilvl w:val="0"/>
                <w:numId w:val="0"/>
              </w:numPr>
              <w:spacing w:line="36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250kPa×2×0.7㎡=350kN</w:t>
            </w:r>
          </w:p>
        </w:tc>
        <w:tc>
          <w:tcPr>
            <w:tcW w:w="1449" w:type="dxa"/>
            <w:vAlign w:val="center"/>
          </w:tcPr>
          <w:p>
            <w:pPr>
              <w:numPr>
                <w:ilvl w:val="0"/>
                <w:numId w:val="0"/>
              </w:numPr>
              <w:spacing w:line="36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vMerge w:val="continue"/>
            <w:vAlign w:val="center"/>
          </w:tcPr>
          <w:p>
            <w:pPr>
              <w:numPr>
                <w:ilvl w:val="0"/>
                <w:numId w:val="0"/>
              </w:numPr>
              <w:spacing w:line="360" w:lineRule="auto"/>
              <w:jc w:val="center"/>
              <w:rPr>
                <w:rFonts w:hint="default" w:ascii="仿宋" w:hAnsi="仿宋" w:eastAsia="仿宋" w:cs="仿宋"/>
                <w:sz w:val="28"/>
                <w:szCs w:val="28"/>
                <w:vertAlign w:val="baseline"/>
                <w:lang w:val="en-US" w:eastAsia="zh-CN"/>
              </w:rPr>
            </w:pPr>
          </w:p>
        </w:tc>
        <w:tc>
          <w:tcPr>
            <w:tcW w:w="1063" w:type="dxa"/>
            <w:vMerge w:val="continue"/>
            <w:vAlign w:val="center"/>
          </w:tcPr>
          <w:p>
            <w:pPr>
              <w:numPr>
                <w:ilvl w:val="0"/>
                <w:numId w:val="0"/>
              </w:numPr>
              <w:spacing w:line="360" w:lineRule="auto"/>
              <w:jc w:val="center"/>
              <w:rPr>
                <w:rFonts w:hint="default" w:ascii="仿宋" w:hAnsi="仿宋" w:eastAsia="仿宋" w:cs="仿宋"/>
                <w:sz w:val="28"/>
                <w:szCs w:val="28"/>
                <w:vertAlign w:val="baseline"/>
                <w:lang w:val="en-US" w:eastAsia="zh-CN"/>
              </w:rPr>
            </w:pPr>
          </w:p>
        </w:tc>
        <w:tc>
          <w:tcPr>
            <w:tcW w:w="2424" w:type="dxa"/>
            <w:vAlign w:val="center"/>
          </w:tcPr>
          <w:p>
            <w:pPr>
              <w:numPr>
                <w:ilvl w:val="0"/>
                <w:numId w:val="0"/>
              </w:num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湿陷性及挤密系数检测</w:t>
            </w:r>
          </w:p>
        </w:tc>
        <w:tc>
          <w:tcPr>
            <w:tcW w:w="2456" w:type="dxa"/>
            <w:vAlign w:val="center"/>
          </w:tcPr>
          <w:p>
            <w:pPr>
              <w:numPr>
                <w:ilvl w:val="0"/>
                <w:numId w:val="0"/>
              </w:numPr>
              <w:spacing w:line="36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w:t>
            </w:r>
          </w:p>
        </w:tc>
        <w:tc>
          <w:tcPr>
            <w:tcW w:w="1449" w:type="dxa"/>
            <w:vAlign w:val="center"/>
          </w:tcPr>
          <w:p>
            <w:pPr>
              <w:numPr>
                <w:ilvl w:val="0"/>
                <w:numId w:val="0"/>
              </w:numPr>
              <w:spacing w:line="36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0" w:type="dxa"/>
            <w:vAlign w:val="center"/>
          </w:tcPr>
          <w:p>
            <w:pPr>
              <w:numPr>
                <w:ilvl w:val="0"/>
                <w:numId w:val="0"/>
              </w:numPr>
              <w:spacing w:line="36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灌注桩</w:t>
            </w:r>
          </w:p>
        </w:tc>
        <w:tc>
          <w:tcPr>
            <w:tcW w:w="1063" w:type="dxa"/>
            <w:vAlign w:val="center"/>
          </w:tcPr>
          <w:p>
            <w:pPr>
              <w:numPr>
                <w:ilvl w:val="0"/>
                <w:numId w:val="0"/>
              </w:numPr>
              <w:spacing w:line="36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w:t>
            </w:r>
          </w:p>
        </w:tc>
        <w:tc>
          <w:tcPr>
            <w:tcW w:w="2424" w:type="dxa"/>
            <w:vAlign w:val="center"/>
          </w:tcPr>
          <w:p>
            <w:pPr>
              <w:numPr>
                <w:ilvl w:val="0"/>
                <w:numId w:val="0"/>
              </w:num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单桩竖向抗压静载试验</w:t>
            </w:r>
          </w:p>
        </w:tc>
        <w:tc>
          <w:tcPr>
            <w:tcW w:w="2456" w:type="dxa"/>
            <w:vAlign w:val="center"/>
          </w:tcPr>
          <w:p>
            <w:pPr>
              <w:numPr>
                <w:ilvl w:val="0"/>
                <w:numId w:val="0"/>
              </w:numPr>
              <w:spacing w:line="36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1250kN×2=2500kN</w:t>
            </w:r>
          </w:p>
        </w:tc>
        <w:tc>
          <w:tcPr>
            <w:tcW w:w="1449" w:type="dxa"/>
            <w:vAlign w:val="center"/>
          </w:tcPr>
          <w:p>
            <w:pPr>
              <w:numPr>
                <w:ilvl w:val="0"/>
                <w:numId w:val="0"/>
              </w:numPr>
              <w:spacing w:line="36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vAlign w:val="center"/>
          </w:tcPr>
          <w:p>
            <w:pPr>
              <w:numPr>
                <w:ilvl w:val="0"/>
                <w:numId w:val="0"/>
              </w:numPr>
              <w:spacing w:line="36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c>
          <w:tcPr>
            <w:tcW w:w="7392" w:type="dxa"/>
            <w:gridSpan w:val="4"/>
            <w:vAlign w:val="bottom"/>
          </w:tcPr>
          <w:p>
            <w:pPr>
              <w:numPr>
                <w:ilvl w:val="0"/>
                <w:numId w:val="0"/>
              </w:numPr>
              <w:spacing w:line="360" w:lineRule="auto"/>
              <w:jc w:val="both"/>
              <w:rPr>
                <w:rFonts w:hint="default" w:ascii="仿宋" w:hAnsi="仿宋" w:eastAsia="仿宋" w:cs="仿宋"/>
                <w:sz w:val="28"/>
                <w:szCs w:val="28"/>
                <w:vertAlign w:val="baseline"/>
                <w:lang w:val="en-US" w:eastAsia="zh-CN"/>
              </w:rPr>
            </w:pPr>
            <w:r>
              <w:rPr>
                <w:rFonts w:hint="default" w:ascii="仿宋" w:hAnsi="仿宋" w:eastAsia="仿宋" w:cs="仿宋"/>
                <w:sz w:val="28"/>
                <w:szCs w:val="28"/>
                <w:vertAlign w:val="baseline"/>
                <w:lang w:val="en-US" w:eastAsia="zh-CN"/>
              </w:rPr>
              <w:t>1、低应变检测免费，按设计要求检测。</w:t>
            </w:r>
          </w:p>
          <w:p>
            <w:pPr>
              <w:numPr>
                <w:ilvl w:val="0"/>
                <w:numId w:val="0"/>
              </w:numPr>
              <w:spacing w:line="360" w:lineRule="auto"/>
              <w:jc w:val="both"/>
              <w:rPr>
                <w:rFonts w:hint="default" w:ascii="仿宋" w:hAnsi="仿宋" w:eastAsia="仿宋" w:cs="仿宋"/>
                <w:sz w:val="28"/>
                <w:szCs w:val="28"/>
                <w:vertAlign w:val="baseline"/>
                <w:lang w:val="en-US" w:eastAsia="zh-CN"/>
              </w:rPr>
            </w:pPr>
            <w:r>
              <w:rPr>
                <w:rFonts w:hint="default" w:ascii="仿宋" w:hAnsi="仿宋" w:eastAsia="仿宋" w:cs="仿宋"/>
                <w:sz w:val="28"/>
                <w:szCs w:val="28"/>
                <w:vertAlign w:val="baseline"/>
                <w:lang w:val="en-US" w:eastAsia="zh-CN"/>
              </w:rPr>
              <w:t>2、固定单价，以实际工作量结算。</w:t>
            </w:r>
          </w:p>
        </w:tc>
      </w:tr>
    </w:tbl>
    <w:p>
      <w:pPr>
        <w:numPr>
          <w:ilvl w:val="0"/>
          <w:numId w:val="0"/>
        </w:numPr>
        <w:spacing w:line="360" w:lineRule="auto"/>
        <w:ind w:leftChars="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备注：谈判最终报价应具有各检测项目单价的最终报价和所有检测项目的总价。</w:t>
      </w:r>
    </w:p>
    <w:p>
      <w:pPr>
        <w:numPr>
          <w:ilvl w:val="0"/>
          <w:numId w:val="2"/>
        </w:numPr>
        <w:spacing w:line="360" w:lineRule="auto"/>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项目要求</w:t>
      </w:r>
    </w:p>
    <w:p>
      <w:pPr>
        <w:numPr>
          <w:ilvl w:val="0"/>
          <w:numId w:val="3"/>
        </w:numPr>
        <w:spacing w:line="360" w:lineRule="auto"/>
        <w:ind w:left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资质要求：营业执照应含有</w:t>
      </w:r>
      <w:r>
        <w:rPr>
          <w:rFonts w:hint="eastAsia" w:ascii="仿宋" w:hAnsi="仿宋" w:eastAsia="仿宋" w:cs="仿宋"/>
          <w:sz w:val="28"/>
          <w:szCs w:val="28"/>
          <w:u w:val="single"/>
          <w:lang w:val="en-US" w:eastAsia="zh-CN"/>
        </w:rPr>
        <w:tab/>
      </w:r>
      <w:r>
        <w:rPr>
          <w:rFonts w:hint="eastAsia" w:ascii="仿宋" w:hAnsi="仿宋" w:eastAsia="仿宋" w:cs="仿宋"/>
          <w:sz w:val="28"/>
          <w:szCs w:val="28"/>
          <w:u w:val="single"/>
          <w:lang w:val="en-US" w:eastAsia="zh-CN"/>
        </w:rPr>
        <w:t xml:space="preserve">建设工程质量检测 </w:t>
      </w:r>
      <w:r>
        <w:rPr>
          <w:rFonts w:hint="eastAsia" w:ascii="仿宋" w:hAnsi="仿宋" w:eastAsia="仿宋" w:cs="仿宋"/>
          <w:sz w:val="28"/>
          <w:szCs w:val="28"/>
          <w:lang w:val="en-US" w:eastAsia="zh-CN"/>
        </w:rPr>
        <w:t xml:space="preserve">相关项。   </w:t>
      </w:r>
    </w:p>
    <w:p>
      <w:pPr>
        <w:numPr>
          <w:ilvl w:val="0"/>
          <w:numId w:val="3"/>
        </w:numPr>
        <w:spacing w:line="360" w:lineRule="auto"/>
        <w:ind w:leftChars="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业绩要求：</w:t>
      </w:r>
      <w:r>
        <w:rPr>
          <w:rFonts w:hint="eastAsia" w:ascii="仿宋" w:hAnsi="仿宋" w:eastAsia="仿宋" w:cs="仿宋"/>
          <w:sz w:val="28"/>
          <w:szCs w:val="28"/>
          <w:lang w:val="en-US" w:eastAsia="zh-CN"/>
        </w:rPr>
        <w:t>无</w:t>
      </w:r>
      <w:r>
        <w:rPr>
          <w:rFonts w:hint="default" w:ascii="仿宋" w:hAnsi="仿宋" w:eastAsia="仿宋" w:cs="仿宋"/>
          <w:sz w:val="28"/>
          <w:szCs w:val="28"/>
          <w:lang w:val="en-US" w:eastAsia="zh-CN"/>
        </w:rPr>
        <w:t>。</w:t>
      </w:r>
    </w:p>
    <w:p>
      <w:pPr>
        <w:numPr>
          <w:ilvl w:val="0"/>
          <w:numId w:val="3"/>
        </w:numPr>
        <w:spacing w:line="360" w:lineRule="auto"/>
        <w:ind w:leftChars="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税率</w:t>
      </w:r>
      <w:r>
        <w:rPr>
          <w:rFonts w:hint="eastAsia" w:ascii="仿宋" w:hAnsi="仿宋" w:eastAsia="仿宋" w:cs="仿宋"/>
          <w:sz w:val="28"/>
          <w:szCs w:val="28"/>
          <w:lang w:val="en-US" w:eastAsia="zh-CN"/>
        </w:rPr>
        <w:t>及价格</w:t>
      </w:r>
      <w:r>
        <w:rPr>
          <w:rFonts w:hint="default" w:ascii="仿宋" w:hAnsi="仿宋" w:eastAsia="仿宋" w:cs="仿宋"/>
          <w:sz w:val="28"/>
          <w:szCs w:val="28"/>
          <w:lang w:val="en-US" w:eastAsia="zh-CN"/>
        </w:rPr>
        <w:t>：所有含税价格均为含</w:t>
      </w:r>
      <w:r>
        <w:rPr>
          <w:rFonts w:hint="eastAsia" w:ascii="仿宋" w:hAnsi="仿宋" w:eastAsia="仿宋" w:cs="仿宋"/>
          <w:sz w:val="28"/>
          <w:szCs w:val="28"/>
          <w:u w:val="single"/>
          <w:lang w:val="en-US" w:eastAsia="zh-CN"/>
        </w:rPr>
        <w:tab/>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lang w:val="en-US" w:eastAsia="zh-CN"/>
        </w:rPr>
        <w:tab/>
      </w:r>
      <w:r>
        <w:rPr>
          <w:rFonts w:hint="default" w:ascii="仿宋" w:hAnsi="仿宋" w:eastAsia="仿宋" w:cs="仿宋"/>
          <w:sz w:val="28"/>
          <w:szCs w:val="28"/>
          <w:lang w:val="en-US" w:eastAsia="zh-CN"/>
        </w:rPr>
        <w:t>增值税专用发票价格。含税价格包含</w:t>
      </w:r>
      <w:r>
        <w:rPr>
          <w:rFonts w:hint="eastAsia" w:ascii="仿宋" w:hAnsi="仿宋" w:eastAsia="仿宋" w:cs="仿宋"/>
          <w:sz w:val="28"/>
          <w:szCs w:val="28"/>
          <w:lang w:val="en-US" w:eastAsia="zh-CN"/>
        </w:rPr>
        <w:t>该项目工程质量检测实验、试验、报告</w:t>
      </w:r>
      <w:r>
        <w:rPr>
          <w:rFonts w:hint="default" w:ascii="仿宋" w:hAnsi="仿宋" w:eastAsia="仿宋" w:cs="仿宋"/>
          <w:sz w:val="28"/>
          <w:szCs w:val="28"/>
          <w:lang w:val="en-US" w:eastAsia="zh-CN"/>
        </w:rPr>
        <w:t>等</w:t>
      </w:r>
      <w:r>
        <w:rPr>
          <w:rFonts w:hint="eastAsia" w:ascii="仿宋" w:hAnsi="仿宋" w:eastAsia="仿宋" w:cs="仿宋"/>
          <w:sz w:val="28"/>
          <w:szCs w:val="28"/>
          <w:lang w:val="en-US" w:eastAsia="zh-CN"/>
        </w:rPr>
        <w:t>工程质量检测服务涉及的全部</w:t>
      </w:r>
      <w:r>
        <w:rPr>
          <w:rFonts w:hint="default" w:ascii="仿宋" w:hAnsi="仿宋" w:eastAsia="仿宋" w:cs="仿宋"/>
          <w:sz w:val="28"/>
          <w:szCs w:val="28"/>
          <w:lang w:val="en-US" w:eastAsia="zh-CN"/>
        </w:rPr>
        <w:t>费用。</w:t>
      </w:r>
      <w:r>
        <w:rPr>
          <w:rFonts w:hint="eastAsia" w:ascii="仿宋" w:hAnsi="仿宋" w:eastAsia="仿宋" w:cs="仿宋"/>
          <w:sz w:val="28"/>
          <w:szCs w:val="28"/>
          <w:lang w:val="en-US" w:eastAsia="zh-CN"/>
        </w:rPr>
        <w:t>检测费用最终结算以实际检测项目及检测数量为准，据实结算。</w:t>
      </w:r>
    </w:p>
    <w:p>
      <w:pPr>
        <w:numPr>
          <w:ilvl w:val="0"/>
          <w:numId w:val="3"/>
        </w:numPr>
        <w:spacing w:line="360" w:lineRule="auto"/>
        <w:ind w:leftChars="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质保期：自项目竣工验收合格后质保期一年</w:t>
      </w:r>
      <w:r>
        <w:rPr>
          <w:rFonts w:hint="default" w:ascii="仿宋" w:hAnsi="仿宋" w:eastAsia="仿宋" w:cs="仿宋"/>
          <w:sz w:val="28"/>
          <w:szCs w:val="28"/>
          <w:lang w:val="en-US" w:eastAsia="zh-CN"/>
        </w:rPr>
        <w:t>。</w:t>
      </w:r>
    </w:p>
    <w:p>
      <w:pPr>
        <w:numPr>
          <w:ilvl w:val="0"/>
          <w:numId w:val="3"/>
        </w:numPr>
        <w:spacing w:line="360" w:lineRule="auto"/>
        <w:ind w:leftChars="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付款方式：</w:t>
      </w:r>
      <w:r>
        <w:rPr>
          <w:rFonts w:hint="eastAsia" w:ascii="仿宋" w:hAnsi="仿宋" w:eastAsia="仿宋" w:cs="仿宋"/>
          <w:sz w:val="28"/>
          <w:szCs w:val="28"/>
          <w:lang w:val="en-US" w:eastAsia="zh-CN"/>
        </w:rPr>
        <w:t>银行现金转账；甲方最后领取报告时一次性付清检测费用。</w:t>
      </w:r>
    </w:p>
    <w:p>
      <w:pPr>
        <w:numPr>
          <w:ilvl w:val="0"/>
          <w:numId w:val="3"/>
        </w:numPr>
        <w:spacing w:line="360" w:lineRule="auto"/>
        <w:ind w:leftChars="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到货周期：</w:t>
      </w:r>
      <w:r>
        <w:rPr>
          <w:rFonts w:hint="eastAsia" w:ascii="仿宋" w:hAnsi="仿宋" w:eastAsia="仿宋" w:cs="仿宋"/>
          <w:sz w:val="28"/>
          <w:szCs w:val="28"/>
          <w:lang w:val="en-US" w:eastAsia="zh-CN"/>
        </w:rPr>
        <w:t>无</w:t>
      </w:r>
      <w:r>
        <w:rPr>
          <w:rFonts w:hint="default" w:ascii="仿宋" w:hAnsi="仿宋" w:eastAsia="仿宋" w:cs="仿宋"/>
          <w:sz w:val="28"/>
          <w:szCs w:val="28"/>
          <w:lang w:val="en-US" w:eastAsia="zh-CN"/>
        </w:rPr>
        <w:t>。</w:t>
      </w:r>
    </w:p>
    <w:p>
      <w:pPr>
        <w:numPr>
          <w:ilvl w:val="0"/>
          <w:numId w:val="3"/>
        </w:numPr>
        <w:spacing w:line="360" w:lineRule="auto"/>
        <w:ind w:leftChars="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服务</w:t>
      </w:r>
      <w:r>
        <w:rPr>
          <w:rFonts w:hint="default" w:ascii="仿宋" w:hAnsi="仿宋" w:eastAsia="仿宋" w:cs="仿宋"/>
          <w:sz w:val="28"/>
          <w:szCs w:val="28"/>
          <w:lang w:val="en-US" w:eastAsia="zh-CN"/>
        </w:rPr>
        <w:t>期：</w:t>
      </w:r>
      <w:r>
        <w:rPr>
          <w:rFonts w:hint="eastAsia" w:ascii="仿宋" w:hAnsi="仿宋" w:eastAsia="仿宋" w:cs="仿宋"/>
          <w:sz w:val="28"/>
          <w:szCs w:val="28"/>
          <w:u w:val="single"/>
          <w:lang w:val="en-US" w:eastAsia="zh-CN"/>
        </w:rPr>
        <w:tab/>
      </w:r>
      <w:r>
        <w:rPr>
          <w:rFonts w:hint="eastAsia" w:ascii="仿宋" w:hAnsi="仿宋" w:eastAsia="仿宋" w:cs="仿宋"/>
          <w:sz w:val="28"/>
          <w:szCs w:val="28"/>
          <w:u w:val="single"/>
          <w:lang w:val="en-US" w:eastAsia="zh-CN"/>
        </w:rPr>
        <w:t xml:space="preserve">以危废渣资源化升级改造项目施工周期为该工程质量检测的服务期限，预计服务期限为18个月 </w:t>
      </w:r>
      <w:r>
        <w:rPr>
          <w:rFonts w:hint="default" w:ascii="仿宋" w:hAnsi="仿宋" w:eastAsia="仿宋" w:cs="仿宋"/>
          <w:sz w:val="28"/>
          <w:szCs w:val="28"/>
          <w:lang w:val="en-US" w:eastAsia="zh-CN"/>
        </w:rPr>
        <w:t>。</w:t>
      </w:r>
    </w:p>
    <w:p>
      <w:pPr>
        <w:numPr>
          <w:ilvl w:val="0"/>
          <w:numId w:val="3"/>
        </w:numPr>
        <w:spacing w:line="360" w:lineRule="auto"/>
        <w:ind w:leftChars="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谈判当天未在规定时间内按要求发送报价的，视为弃权。</w:t>
      </w:r>
    </w:p>
    <w:p>
      <w:pPr>
        <w:numPr>
          <w:ilvl w:val="0"/>
          <w:numId w:val="3"/>
        </w:numPr>
        <w:spacing w:line="360" w:lineRule="auto"/>
        <w:ind w:leftChars="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谈判项目报名单位在“中国执行信息公开网”查询中属失信被执行人的，视为无履约能力，不得报名参加，已报名的视为无效报名。</w:t>
      </w:r>
    </w:p>
    <w:p>
      <w:pPr>
        <w:pStyle w:val="2"/>
        <w:keepNext w:val="0"/>
        <w:keepLines w:val="0"/>
        <w:widowControl/>
        <w:suppressLineNumbers w:val="0"/>
        <w:spacing w:before="0" w:beforeAutospacing="0" w:after="0" w:afterAutospacing="0"/>
        <w:ind w:left="0" w:firstLine="0"/>
        <w:jc w:val="left"/>
        <w:rPr>
          <w:rFonts w:hint="eastAsia" w:eastAsia="仿宋"/>
          <w:lang w:eastAsia="zh-CN"/>
        </w:rPr>
      </w:pPr>
      <w:r>
        <w:rPr>
          <w:rFonts w:hint="eastAsia" w:ascii="仿宋" w:hAnsi="仿宋" w:eastAsia="仿宋" w:cs="仿宋"/>
          <w:color w:val="000000"/>
          <w:sz w:val="28"/>
          <w:szCs w:val="28"/>
          <w:lang w:val="en-US" w:eastAsia="zh-CN"/>
        </w:rPr>
        <w:t>10.</w:t>
      </w:r>
      <w:r>
        <w:rPr>
          <w:rFonts w:ascii="仿宋" w:hAnsi="仿宋" w:eastAsia="仿宋" w:cs="仿宋"/>
          <w:color w:val="000000"/>
          <w:sz w:val="28"/>
          <w:szCs w:val="28"/>
        </w:rPr>
        <w:t>若</w:t>
      </w:r>
      <w:r>
        <w:rPr>
          <w:rFonts w:hint="eastAsia" w:ascii="仿宋" w:hAnsi="仿宋" w:eastAsia="仿宋" w:cs="仿宋"/>
          <w:color w:val="000000"/>
          <w:sz w:val="28"/>
          <w:szCs w:val="28"/>
        </w:rPr>
        <w:t>谈判单位采取低于成本价的报价方式，评委将有权否决其谈判资格</w:t>
      </w:r>
      <w:r>
        <w:rPr>
          <w:rFonts w:hint="eastAsia" w:ascii="仿宋" w:hAnsi="仿宋" w:eastAsia="仿宋" w:cs="仿宋"/>
          <w:color w:val="000000"/>
          <w:sz w:val="28"/>
          <w:szCs w:val="28"/>
          <w:lang w:eastAsia="zh-CN"/>
        </w:rPr>
        <w:t>。</w:t>
      </w:r>
    </w:p>
    <w:p>
      <w:pPr>
        <w:numPr>
          <w:ilvl w:val="0"/>
          <w:numId w:val="0"/>
        </w:numPr>
        <w:spacing w:line="360" w:lineRule="auto"/>
        <w:jc w:val="both"/>
        <w:rPr>
          <w:rFonts w:hint="default" w:ascii="仿宋" w:hAnsi="仿宋" w:eastAsia="仿宋" w:cs="仿宋"/>
          <w:sz w:val="28"/>
          <w:szCs w:val="28"/>
          <w:lang w:val="en-US" w:eastAsia="zh-CN"/>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bookmarkStart w:id="0" w:name="_GoBack"/>
      <w:bookmarkEnd w:id="0"/>
    </w:p>
    <w:p>
      <w:pPr>
        <w:bidi w:val="0"/>
        <w:ind w:firstLine="366" w:firstLineChars="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F0253"/>
    <w:multiLevelType w:val="singleLevel"/>
    <w:tmpl w:val="DFCF0253"/>
    <w:lvl w:ilvl="0" w:tentative="0">
      <w:start w:val="1"/>
      <w:numFmt w:val="decimal"/>
      <w:lvlText w:val="%1."/>
      <w:lvlJc w:val="left"/>
      <w:pPr>
        <w:tabs>
          <w:tab w:val="left" w:pos="312"/>
        </w:tabs>
      </w:pPr>
    </w:lvl>
  </w:abstractNum>
  <w:abstractNum w:abstractNumId="1">
    <w:nsid w:val="47278D17"/>
    <w:multiLevelType w:val="singleLevel"/>
    <w:tmpl w:val="47278D17"/>
    <w:lvl w:ilvl="0" w:tentative="0">
      <w:start w:val="2"/>
      <w:numFmt w:val="chineseCounting"/>
      <w:suff w:val="nothing"/>
      <w:lvlText w:val="%1、"/>
      <w:lvlJc w:val="left"/>
      <w:rPr>
        <w:rFonts w:hint="eastAsia"/>
      </w:rPr>
    </w:lvl>
  </w:abstractNum>
  <w:abstractNum w:abstractNumId="2">
    <w:nsid w:val="5F1BCE1D"/>
    <w:multiLevelType w:val="singleLevel"/>
    <w:tmpl w:val="5F1BCE1D"/>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NjcxOGUwZjFmZDQ3OWI5YjA5MDg2NjY3OTkzNGYifQ=="/>
  </w:docVars>
  <w:rsids>
    <w:rsidRoot w:val="00000000"/>
    <w:rsid w:val="017417C4"/>
    <w:rsid w:val="02223D56"/>
    <w:rsid w:val="04671EF4"/>
    <w:rsid w:val="055F3042"/>
    <w:rsid w:val="06E94F7C"/>
    <w:rsid w:val="08BC1DD1"/>
    <w:rsid w:val="0A39319E"/>
    <w:rsid w:val="0A633666"/>
    <w:rsid w:val="0A8A567C"/>
    <w:rsid w:val="0FB029A1"/>
    <w:rsid w:val="127B54E8"/>
    <w:rsid w:val="18771EB1"/>
    <w:rsid w:val="18941CD2"/>
    <w:rsid w:val="1B24401E"/>
    <w:rsid w:val="24191D42"/>
    <w:rsid w:val="261A02E3"/>
    <w:rsid w:val="2ED677CB"/>
    <w:rsid w:val="31287BD9"/>
    <w:rsid w:val="37545577"/>
    <w:rsid w:val="3B620A15"/>
    <w:rsid w:val="3B64270E"/>
    <w:rsid w:val="3D522C22"/>
    <w:rsid w:val="4604730E"/>
    <w:rsid w:val="4650264D"/>
    <w:rsid w:val="47156CFF"/>
    <w:rsid w:val="47262F6D"/>
    <w:rsid w:val="48835979"/>
    <w:rsid w:val="49844AAA"/>
    <w:rsid w:val="4AF50D13"/>
    <w:rsid w:val="4D716F40"/>
    <w:rsid w:val="513A7953"/>
    <w:rsid w:val="53523AB0"/>
    <w:rsid w:val="57951C48"/>
    <w:rsid w:val="5C490690"/>
    <w:rsid w:val="5FE945CB"/>
    <w:rsid w:val="61EF75BD"/>
    <w:rsid w:val="626B7C40"/>
    <w:rsid w:val="6356177B"/>
    <w:rsid w:val="68F760C0"/>
    <w:rsid w:val="69A14B29"/>
    <w:rsid w:val="6A6A370E"/>
    <w:rsid w:val="73470603"/>
    <w:rsid w:val="73A4735D"/>
    <w:rsid w:val="76BF6E30"/>
    <w:rsid w:val="7CA97BB7"/>
    <w:rsid w:val="7F090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639</Words>
  <Characters>681</Characters>
  <Lines>0</Lines>
  <Paragraphs>0</Paragraphs>
  <TotalTime>9</TotalTime>
  <ScaleCrop>false</ScaleCrop>
  <LinksUpToDate>false</LinksUpToDate>
  <CharactersWithSpaces>720</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2024-01-15T07:00:00Z</dcterms:created>
  <dc:creator>Administrator</dc:creator>
  <cp:lastModifiedBy>王杰</cp:lastModifiedBy>
  <cp:lastPrinted>2024-07-30T01:38:00Z</cp:lastPrinted>
  <dcterms:modified xsi:type="dcterms:W3CDTF">2025-07-29T00:41:30Z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029FC5A8B25444A987D0C1B3C6B2CBA8</vt:lpwstr>
  </property>
</Properties>
</file>