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谈判项目要求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一、项目概况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河南中原黄金冶炼厂有限责任公司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现对该谈判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项目公开公示</w:t>
      </w:r>
      <w:r>
        <w:rPr>
          <w:rFonts w:hint="eastAsia" w:ascii="仿宋" w:hAnsi="仿宋" w:eastAsia="仿宋" w:cs="仿宋"/>
          <w:sz w:val="28"/>
          <w:szCs w:val="28"/>
        </w:rPr>
        <w:t>，请有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参与</w:t>
      </w:r>
      <w:r>
        <w:rPr>
          <w:rFonts w:hint="eastAsia" w:ascii="仿宋" w:hAnsi="仿宋" w:eastAsia="仿宋" w:cs="仿宋"/>
          <w:sz w:val="28"/>
          <w:szCs w:val="28"/>
        </w:rPr>
        <w:t>意向的供应商提交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报名表和相关资质文件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谈判项目编号：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YGCG2025146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</w:t>
      </w:r>
    </w:p>
    <w:p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项目名称：河南中原黄金冶炼厂有限责任公司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（集团视频会议专线采购）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业务管理部门: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信息化管理部</w:t>
      </w:r>
    </w:p>
    <w:p>
      <w:pPr>
        <w:numPr>
          <w:ilvl w:val="0"/>
          <w:numId w:val="2"/>
        </w:numPr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项目内容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明细表</w:t>
      </w:r>
    </w:p>
    <w:tbl>
      <w:tblPr>
        <w:tblStyle w:val="4"/>
        <w:tblW w:w="87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860"/>
        <w:gridCol w:w="2534"/>
        <w:gridCol w:w="771"/>
        <w:gridCol w:w="785"/>
        <w:gridCol w:w="2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86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2534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规格</w:t>
            </w:r>
          </w:p>
        </w:tc>
        <w:tc>
          <w:tcPr>
            <w:tcW w:w="771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78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2028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网络专线</w:t>
            </w:r>
          </w:p>
        </w:tc>
        <w:tc>
          <w:tcPr>
            <w:tcW w:w="2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100M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年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1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</w:tbl>
    <w:p>
      <w:pPr>
        <w:numPr>
          <w:ilvl w:val="0"/>
          <w:numId w:val="2"/>
        </w:numPr>
        <w:spacing w:line="360" w:lineRule="auto"/>
        <w:ind w:left="0" w:leftChars="0" w:firstLine="0" w:firstLine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项目要求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资质要求：提供其营业执照、组织机构代码证等资质证件，不具备提供证件条件的，应提供国家业务主管部门的审批公函后凭介绍信、签字盖章的名单列表等相关证明文件，遵照中华人民共和国对实名制管理的相关法律法规入网。   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eastAsia="zh-CN"/>
        </w:rPr>
        <w:t>提供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税率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及价格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包含机房到216、205会议室光纤入会议室改造。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质保期：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服务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必须满足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河南中原黄金冶炼厂有限责任公司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实际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使用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要求，若因质量问题造成的直接或间接损失，所有退货或索赔引起的一切费用及损失均由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单位承担。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付款方式：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安装调试完毕协议签订后，由供应商开具全额增值税专用发票</w:t>
      </w:r>
      <w:r>
        <w:rPr>
          <w:rFonts w:hint="default" w:ascii="仿宋" w:hAnsi="仿宋" w:eastAsia="仿宋" w:cs="仿宋"/>
          <w:sz w:val="28"/>
          <w:szCs w:val="28"/>
          <w:lang w:eastAsia="zh-CN"/>
        </w:rPr>
        <w:t>（与报名信息一致,不一致提供说明情况）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，买方在15个工作日内通过银行转账向供应商根据合同要求进行付款。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安装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周期：买方下单后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10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个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工作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内。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谈判当天未在规定时间内按要求发送报价的，视为弃权。</w:t>
      </w:r>
    </w:p>
    <w:p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谈判项目报名单位在“中国执行信息公开网”查询中属失信被执行人的，视为无履约能力，不得报名参加，已报名的视为无效报名。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left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9.</w:t>
      </w:r>
      <w:r>
        <w:rPr>
          <w:rFonts w:ascii="仿宋" w:hAnsi="仿宋" w:eastAsia="仿宋" w:cs="仿宋"/>
          <w:color w:val="000000"/>
          <w:sz w:val="28"/>
          <w:szCs w:val="28"/>
        </w:rPr>
        <w:t>若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谈判单位采取低于成本价的报价方式，评委将有权否决其谈判资格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CF0253"/>
    <w:multiLevelType w:val="singleLevel"/>
    <w:tmpl w:val="DFCF02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7278D17"/>
    <w:multiLevelType w:val="singleLevel"/>
    <w:tmpl w:val="47278D1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F1BCE1D"/>
    <w:multiLevelType w:val="singleLevel"/>
    <w:tmpl w:val="5F1BCE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5MDNiMmM5OTdiNmMyNDk0ZTdjMThlNDEwM2I5OWMifQ=="/>
  </w:docVars>
  <w:rsids>
    <w:rsidRoot w:val="00000000"/>
    <w:rsid w:val="055F3042"/>
    <w:rsid w:val="08BC1DD1"/>
    <w:rsid w:val="0F13144C"/>
    <w:rsid w:val="0FB029A1"/>
    <w:rsid w:val="1277445A"/>
    <w:rsid w:val="18002BB6"/>
    <w:rsid w:val="1B476B60"/>
    <w:rsid w:val="269059F2"/>
    <w:rsid w:val="285F70AF"/>
    <w:rsid w:val="2E1B6578"/>
    <w:rsid w:val="3AF57AEB"/>
    <w:rsid w:val="3B620A15"/>
    <w:rsid w:val="3D522C22"/>
    <w:rsid w:val="42B82C29"/>
    <w:rsid w:val="47156CFF"/>
    <w:rsid w:val="4D716F40"/>
    <w:rsid w:val="507656F3"/>
    <w:rsid w:val="5248463E"/>
    <w:rsid w:val="53857615"/>
    <w:rsid w:val="5C490690"/>
    <w:rsid w:val="65580720"/>
    <w:rsid w:val="6A6A370E"/>
    <w:rsid w:val="71772EEB"/>
    <w:rsid w:val="73470603"/>
    <w:rsid w:val="75DA081E"/>
    <w:rsid w:val="7CA97BB7"/>
    <w:rsid w:val="7D38207A"/>
    <w:rsid w:val="7E3C39A6"/>
    <w:rsid w:val="7F090BB3"/>
    <w:rsid w:val="F907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31"/>
    <w:basedOn w:val="5"/>
    <w:autoRedefine/>
    <w:qFormat/>
    <w:uiPriority w:val="0"/>
    <w:rPr>
      <w:rFonts w:hint="eastAsia" w:ascii="华文仿宋" w:hAnsi="华文仿宋" w:eastAsia="华文仿宋" w:cs="华文仿宋"/>
      <w:color w:val="000000"/>
      <w:sz w:val="20"/>
      <w:szCs w:val="20"/>
      <w:u w:val="none"/>
    </w:rPr>
  </w:style>
  <w:style w:type="character" w:customStyle="1" w:styleId="7">
    <w:name w:val="font21"/>
    <w:basedOn w:val="5"/>
    <w:autoRedefine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565</Words>
  <Characters>585</Characters>
  <Lines>0</Lines>
  <Paragraphs>0</Paragraphs>
  <TotalTime>18</TotalTime>
  <ScaleCrop>false</ScaleCrop>
  <LinksUpToDate>false</LinksUpToDate>
  <CharactersWithSpaces>599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2024-01-15T15:00:00Z</dcterms:created>
  <dc:creator>Administrator</dc:creator>
  <cp:lastModifiedBy>胖逗</cp:lastModifiedBy>
  <dcterms:modified xsi:type="dcterms:W3CDTF">2025-08-12T08:46:44Z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8D82A26A8F334011B304612E6AA4A55C</vt:lpwstr>
  </property>
  <property fmtid="{D5CDD505-2E9C-101B-9397-08002B2CF9AE}" pid="4" name="KSOTemplateDocerSaveRecord">
    <vt:lpwstr>eyJoZGlkIjoiMDg2NTVkZTRlODBkMzVmOGU3YzgwOWRjNTJlYWQyMWUiLCJ1c2VySWQiOiIxNjA5MzQwMTY4In0=</vt:lpwstr>
  </property>
</Properties>
</file>