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7C8C">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谈判项目要求</w:t>
      </w:r>
    </w:p>
    <w:p w14:paraId="0CDDB89D">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一、项目概况</w:t>
      </w:r>
    </w:p>
    <w:p w14:paraId="7261D820">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河南中原黄金冶炼厂有限责任公司</w:t>
      </w:r>
      <w:r>
        <w:rPr>
          <w:rFonts w:hint="eastAsia" w:ascii="仿宋" w:hAnsi="仿宋" w:eastAsia="仿宋" w:cs="仿宋"/>
          <w:sz w:val="28"/>
          <w:szCs w:val="28"/>
          <w:lang w:eastAsia="zh-CN"/>
        </w:rPr>
        <w:t>现对该谈判</w:t>
      </w:r>
      <w:r>
        <w:rPr>
          <w:rFonts w:hint="eastAsia" w:ascii="仿宋" w:hAnsi="仿宋" w:eastAsia="仿宋" w:cs="仿宋"/>
          <w:sz w:val="28"/>
          <w:szCs w:val="28"/>
          <w:lang w:val="en-US" w:eastAsia="zh-CN"/>
        </w:rPr>
        <w:t>项目公开公示</w:t>
      </w:r>
      <w:r>
        <w:rPr>
          <w:rFonts w:hint="eastAsia" w:ascii="仿宋" w:hAnsi="仿宋" w:eastAsia="仿宋" w:cs="仿宋"/>
          <w:sz w:val="28"/>
          <w:szCs w:val="28"/>
        </w:rPr>
        <w:t>，请有</w:t>
      </w:r>
      <w:r>
        <w:rPr>
          <w:rFonts w:hint="eastAsia" w:ascii="仿宋" w:hAnsi="仿宋" w:eastAsia="仿宋" w:cs="仿宋"/>
          <w:sz w:val="28"/>
          <w:szCs w:val="28"/>
          <w:lang w:eastAsia="zh-CN"/>
        </w:rPr>
        <w:t>参与</w:t>
      </w:r>
      <w:r>
        <w:rPr>
          <w:rFonts w:hint="eastAsia" w:ascii="仿宋" w:hAnsi="仿宋" w:eastAsia="仿宋" w:cs="仿宋"/>
          <w:sz w:val="28"/>
          <w:szCs w:val="28"/>
        </w:rPr>
        <w:t>意向的供应商提交</w:t>
      </w:r>
      <w:r>
        <w:rPr>
          <w:rFonts w:hint="eastAsia" w:ascii="仿宋" w:hAnsi="仿宋" w:eastAsia="仿宋" w:cs="仿宋"/>
          <w:sz w:val="28"/>
          <w:szCs w:val="28"/>
          <w:lang w:eastAsia="zh-CN"/>
        </w:rPr>
        <w:t>报名表和相关资质文件</w:t>
      </w:r>
      <w:r>
        <w:rPr>
          <w:rFonts w:hint="eastAsia" w:ascii="仿宋" w:hAnsi="仿宋" w:eastAsia="仿宋" w:cs="仿宋"/>
          <w:sz w:val="28"/>
          <w:szCs w:val="28"/>
        </w:rPr>
        <w:t>。</w:t>
      </w:r>
    </w:p>
    <w:p w14:paraId="08CF9660">
      <w:pPr>
        <w:numPr>
          <w:ilvl w:val="0"/>
          <w:numId w:val="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谈判项目编号：</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CGB2025316   </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14:paraId="7AF78D21">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项目名称：河南中原黄金冶炼厂有限责任公司</w:t>
      </w:r>
      <w:r>
        <w:rPr>
          <w:rFonts w:hint="eastAsia" w:ascii="仿宋" w:hAnsi="仿宋" w:eastAsia="仿宋" w:cs="仿宋"/>
          <w:sz w:val="28"/>
          <w:szCs w:val="28"/>
          <w:u w:val="single"/>
          <w:lang w:val="en-US" w:eastAsia="zh-CN"/>
        </w:rPr>
        <w:t>危废渣资源化升级改</w:t>
      </w:r>
      <w:bookmarkStart w:id="0" w:name="_GoBack"/>
      <w:bookmarkEnd w:id="0"/>
      <w:r>
        <w:rPr>
          <w:rFonts w:hint="eastAsia" w:ascii="仿宋" w:hAnsi="仿宋" w:eastAsia="仿宋" w:cs="仿宋"/>
          <w:sz w:val="28"/>
          <w:szCs w:val="28"/>
          <w:u w:val="single"/>
          <w:lang w:val="en-US" w:eastAsia="zh-CN"/>
        </w:rPr>
        <w:t>造项目-铅电解车间（基础拆除部分）</w:t>
      </w:r>
      <w:r>
        <w:rPr>
          <w:rFonts w:hint="eastAsia" w:ascii="仿宋" w:hAnsi="仿宋" w:eastAsia="仿宋" w:cs="仿宋"/>
          <w:sz w:val="28"/>
          <w:szCs w:val="28"/>
          <w:lang w:val="en-US" w:eastAsia="zh-CN"/>
        </w:rPr>
        <w:t>。</w:t>
      </w:r>
    </w:p>
    <w:p w14:paraId="665CA741">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业务管理部门: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工程部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14:paraId="2916D168">
      <w:pPr>
        <w:numPr>
          <w:ilvl w:val="0"/>
          <w:numId w:val="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项目范围 </w:t>
      </w:r>
    </w:p>
    <w:p w14:paraId="5CFFF8D0">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明细表</w:t>
      </w:r>
    </w:p>
    <w:tbl>
      <w:tblPr>
        <w:tblStyle w:val="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180"/>
        <w:gridCol w:w="1214"/>
        <w:gridCol w:w="812"/>
        <w:gridCol w:w="1288"/>
        <w:gridCol w:w="1456"/>
      </w:tblGrid>
      <w:tr w14:paraId="482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1D4FEC85">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3180" w:type="dxa"/>
          </w:tcPr>
          <w:p w14:paraId="5140F635">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1214" w:type="dxa"/>
          </w:tcPr>
          <w:p w14:paraId="28BBBCB5">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w:t>
            </w:r>
          </w:p>
        </w:tc>
        <w:tc>
          <w:tcPr>
            <w:tcW w:w="812" w:type="dxa"/>
          </w:tcPr>
          <w:p w14:paraId="10038547">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288" w:type="dxa"/>
          </w:tcPr>
          <w:p w14:paraId="7A628A72">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56" w:type="dxa"/>
          </w:tcPr>
          <w:p w14:paraId="6BA9EA88">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1405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49" w:type="dxa"/>
          </w:tcPr>
          <w:p w14:paraId="79DC2B63">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180" w:type="dxa"/>
          </w:tcPr>
          <w:p w14:paraId="603234DD">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土方石工程</w:t>
            </w:r>
          </w:p>
        </w:tc>
        <w:tc>
          <w:tcPr>
            <w:tcW w:w="1214" w:type="dxa"/>
          </w:tcPr>
          <w:p w14:paraId="0AEF181F">
            <w:pPr>
              <w:numPr>
                <w:ilvl w:val="0"/>
                <w:numId w:val="0"/>
              </w:numPr>
              <w:spacing w:line="360" w:lineRule="auto"/>
              <w:jc w:val="center"/>
              <w:rPr>
                <w:rFonts w:hint="default" w:ascii="仿宋" w:hAnsi="仿宋" w:eastAsia="仿宋" w:cs="仿宋"/>
                <w:sz w:val="28"/>
                <w:szCs w:val="28"/>
                <w:vertAlign w:val="baseline"/>
                <w:lang w:val="en-US" w:eastAsia="zh-CN"/>
              </w:rPr>
            </w:pPr>
          </w:p>
        </w:tc>
        <w:tc>
          <w:tcPr>
            <w:tcW w:w="812" w:type="dxa"/>
          </w:tcPr>
          <w:p w14:paraId="23C48C34">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1288" w:type="dxa"/>
          </w:tcPr>
          <w:p w14:paraId="211785EF">
            <w:pPr>
              <w:numPr>
                <w:ilvl w:val="0"/>
                <w:numId w:val="0"/>
              </w:numPr>
              <w:spacing w:line="360" w:lineRule="auto"/>
              <w:jc w:val="center"/>
              <w:rPr>
                <w:rFonts w:hint="default" w:ascii="仿宋" w:hAnsi="仿宋" w:eastAsia="仿宋" w:cs="仿宋"/>
                <w:sz w:val="28"/>
                <w:szCs w:val="28"/>
                <w:vertAlign w:val="baseline"/>
                <w:lang w:val="en-US" w:eastAsia="zh-CN"/>
              </w:rPr>
            </w:pPr>
          </w:p>
        </w:tc>
        <w:tc>
          <w:tcPr>
            <w:tcW w:w="1456" w:type="dxa"/>
          </w:tcPr>
          <w:p w14:paraId="76F8D443">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详见附件</w:t>
            </w:r>
          </w:p>
        </w:tc>
      </w:tr>
      <w:tr w14:paraId="46A0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7B6AE739">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180" w:type="dxa"/>
          </w:tcPr>
          <w:p w14:paraId="689B180E">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基础拆除工程</w:t>
            </w:r>
          </w:p>
        </w:tc>
        <w:tc>
          <w:tcPr>
            <w:tcW w:w="1214" w:type="dxa"/>
          </w:tcPr>
          <w:p w14:paraId="77719CB0">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812" w:type="dxa"/>
          </w:tcPr>
          <w:p w14:paraId="62B5BCFB">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1288" w:type="dxa"/>
          </w:tcPr>
          <w:p w14:paraId="511D1A26">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1456" w:type="dxa"/>
          </w:tcPr>
          <w:p w14:paraId="64C10B6B">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详见附件</w:t>
            </w:r>
          </w:p>
        </w:tc>
      </w:tr>
      <w:tr w14:paraId="44D2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3EB36C66">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3180" w:type="dxa"/>
          </w:tcPr>
          <w:p w14:paraId="0DDAED23">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D轴基础部分拆除工程</w:t>
            </w:r>
          </w:p>
        </w:tc>
        <w:tc>
          <w:tcPr>
            <w:tcW w:w="1214" w:type="dxa"/>
          </w:tcPr>
          <w:p w14:paraId="1E59F327">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812" w:type="dxa"/>
          </w:tcPr>
          <w:p w14:paraId="73AA85EC">
            <w:pPr>
              <w:numPr>
                <w:ilvl w:val="0"/>
                <w:numId w:val="0"/>
              </w:numPr>
              <w:spacing w:line="360" w:lineRule="auto"/>
              <w:jc w:val="center"/>
              <w:rPr>
                <w:rFonts w:hint="eastAsia" w:ascii="仿宋" w:hAnsi="仿宋" w:eastAsia="仿宋" w:cs="仿宋"/>
                <w:sz w:val="28"/>
                <w:szCs w:val="28"/>
                <w:vertAlign w:val="baseline"/>
                <w:lang w:val="en-US" w:eastAsia="zh-CN"/>
              </w:rPr>
            </w:pPr>
          </w:p>
        </w:tc>
        <w:tc>
          <w:tcPr>
            <w:tcW w:w="1288" w:type="dxa"/>
          </w:tcPr>
          <w:p w14:paraId="16EED33F">
            <w:pPr>
              <w:numPr>
                <w:ilvl w:val="0"/>
                <w:numId w:val="0"/>
              </w:numPr>
              <w:spacing w:line="360" w:lineRule="auto"/>
              <w:jc w:val="center"/>
              <w:rPr>
                <w:rFonts w:hint="default" w:ascii="仿宋" w:hAnsi="仿宋" w:eastAsia="仿宋" w:cs="仿宋"/>
                <w:sz w:val="28"/>
                <w:szCs w:val="28"/>
                <w:vertAlign w:val="baseline"/>
                <w:lang w:val="en-US" w:eastAsia="zh-CN"/>
              </w:rPr>
            </w:pPr>
          </w:p>
        </w:tc>
        <w:tc>
          <w:tcPr>
            <w:tcW w:w="1456" w:type="dxa"/>
          </w:tcPr>
          <w:p w14:paraId="073D7AE1">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详见附件</w:t>
            </w:r>
          </w:p>
        </w:tc>
      </w:tr>
    </w:tbl>
    <w:p w14:paraId="73E970E2">
      <w:pPr>
        <w:pStyle w:val="3"/>
        <w:keepNext w:val="0"/>
        <w:keepLines w:val="0"/>
        <w:widowControl/>
        <w:suppressLineNumbers w:val="0"/>
        <w:spacing w:before="0" w:beforeAutospacing="0" w:after="0" w:afterAutospacing="0"/>
        <w:ind w:right="0"/>
        <w:rPr>
          <w:rFonts w:hint="eastAsia" w:ascii="仿宋" w:hAnsi="仿宋" w:eastAsia="仿宋" w:cs="仿宋"/>
          <w:kern w:val="2"/>
          <w:sz w:val="28"/>
          <w:szCs w:val="28"/>
          <w:lang w:val="en-US" w:eastAsia="zh-CN" w:bidi="ar-SA"/>
        </w:rPr>
      </w:pPr>
    </w:p>
    <w:p w14:paraId="16A72DC3">
      <w:pPr>
        <w:pStyle w:val="3"/>
        <w:keepNext w:val="0"/>
        <w:keepLines w:val="0"/>
        <w:widowControl/>
        <w:numPr>
          <w:ilvl w:val="0"/>
          <w:numId w:val="3"/>
        </w:numPr>
        <w:suppressLineNumbers w:val="0"/>
        <w:spacing w:before="0" w:beforeAutospacing="0" w:after="0" w:afterAutospacing="0"/>
        <w:ind w:right="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依据新建图纸现场拆除：原地面构筑物、混凝土地面、钢筋混凝土基础等构件，土方开挖至设计标高。</w:t>
      </w:r>
    </w:p>
    <w:p w14:paraId="569CA604">
      <w:pPr>
        <w:pStyle w:val="3"/>
        <w:keepNext w:val="0"/>
        <w:keepLines w:val="0"/>
        <w:widowControl/>
        <w:numPr>
          <w:ilvl w:val="0"/>
          <w:numId w:val="3"/>
        </w:numPr>
        <w:suppressLineNumbers w:val="0"/>
        <w:spacing w:before="0" w:beforeAutospacing="0" w:after="0" w:afterAutospacing="0"/>
        <w:ind w:right="0"/>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该项目拆除部分基础及设备基础混凝土采用C35，集水坑采用C30防水混凝土，地下管道层混凝土等级采用C30防水混凝土。</w:t>
      </w:r>
    </w:p>
    <w:p w14:paraId="5173C6A6">
      <w:pPr>
        <w:pStyle w:val="3"/>
        <w:keepNext w:val="0"/>
        <w:keepLines w:val="0"/>
        <w:widowControl/>
        <w:numPr>
          <w:ilvl w:val="0"/>
          <w:numId w:val="3"/>
        </w:numPr>
        <w:suppressLineNumbers w:val="0"/>
        <w:spacing w:before="0" w:beforeAutospacing="0" w:after="0" w:afterAutospacing="0"/>
        <w:ind w:right="0"/>
        <w:rPr>
          <w:rFonts w:hint="default" w:ascii="仿宋" w:hAnsi="仿宋" w:eastAsia="仿宋" w:cs="仿宋"/>
          <w:kern w:val="2"/>
          <w:sz w:val="28"/>
          <w:szCs w:val="28"/>
          <w:lang w:val="en-US" w:eastAsia="zh-CN" w:bidi="ar-SA"/>
        </w:rPr>
      </w:pPr>
      <w:r>
        <w:rPr>
          <w:rFonts w:hint="eastAsia" w:ascii="仿宋" w:hAnsi="仿宋" w:eastAsia="仿宋" w:cs="仿宋"/>
          <w:sz w:val="28"/>
          <w:szCs w:val="28"/>
          <w:u w:val="single"/>
          <w:lang w:val="en-US" w:eastAsia="zh-CN"/>
        </w:rPr>
        <w:t>危废渣资源化升级改造项目-铅电解车间（基础拆除部分）</w:t>
      </w:r>
      <w:r>
        <w:rPr>
          <w:rFonts w:hint="eastAsia" w:ascii="仿宋" w:hAnsi="仿宋" w:eastAsia="仿宋" w:cs="仿宋"/>
          <w:sz w:val="28"/>
          <w:szCs w:val="28"/>
          <w:lang w:val="en-US" w:eastAsia="zh-CN"/>
        </w:rPr>
        <w:t>工程报名单位需考虑施工机械满足环保要求(取得合格非道路移动柴油机械排气烟度检验报告及检验期内的环保号牌)，同时拆除作业时需考虑抑制扬尘等环保措施。</w:t>
      </w:r>
    </w:p>
    <w:p w14:paraId="257BEA85">
      <w:pPr>
        <w:pStyle w:val="3"/>
        <w:keepNext w:val="0"/>
        <w:keepLines w:val="0"/>
        <w:widowControl/>
        <w:numPr>
          <w:ilvl w:val="0"/>
          <w:numId w:val="3"/>
        </w:numPr>
        <w:suppressLineNumbers w:val="0"/>
        <w:spacing w:before="0" w:beforeAutospacing="0" w:after="0" w:afterAutospacing="0"/>
        <w:ind w:right="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拆除过程中的废旧钢筋需截断，截后钢筋长度不大于1米，拆除的钢筋及预埋件等可回收物资不得带有明显混凝土块，以上物资送至指定地点（仓储中心4号库）入库。</w:t>
      </w:r>
    </w:p>
    <w:p w14:paraId="5FEB754A">
      <w:pPr>
        <w:pStyle w:val="3"/>
        <w:keepNext w:val="0"/>
        <w:keepLines w:val="0"/>
        <w:widowControl/>
        <w:numPr>
          <w:ilvl w:val="0"/>
          <w:numId w:val="3"/>
        </w:numPr>
        <w:suppressLineNumbers w:val="0"/>
        <w:spacing w:before="0" w:beforeAutospacing="0" w:after="0" w:afterAutospacing="0"/>
        <w:ind w:right="0"/>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拆除采取安全防护措施，保证拆除范围内及周边安全。</w:t>
      </w:r>
    </w:p>
    <w:p w14:paraId="3CCBFAE3">
      <w:pPr>
        <w:pStyle w:val="3"/>
        <w:keepNext w:val="0"/>
        <w:keepLines w:val="0"/>
        <w:widowControl/>
        <w:numPr>
          <w:ilvl w:val="0"/>
          <w:numId w:val="3"/>
        </w:numPr>
        <w:suppressLineNumbers w:val="0"/>
        <w:spacing w:before="0" w:beforeAutospacing="0" w:after="0" w:afterAutospacing="0"/>
        <w:ind w:right="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拆除施工过程不得影响我公司生产经营。</w:t>
      </w:r>
    </w:p>
    <w:p w14:paraId="77B01D00">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p w14:paraId="1C53D58D">
      <w:pPr>
        <w:numPr>
          <w:ilvl w:val="0"/>
          <w:numId w:val="4"/>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资质要求：营业执照应含有</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建筑工程二级及以上资质</w:t>
      </w:r>
      <w:r>
        <w:rPr>
          <w:rFonts w:hint="eastAsia" w:ascii="仿宋" w:hAnsi="仿宋" w:eastAsia="仿宋" w:cs="仿宋"/>
          <w:sz w:val="28"/>
          <w:szCs w:val="28"/>
          <w:lang w:val="en-US" w:eastAsia="zh-CN"/>
        </w:rPr>
        <w:t xml:space="preserve">相关项。   </w:t>
      </w:r>
    </w:p>
    <w:p w14:paraId="6B96BCAD">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业绩要求：</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14:paraId="5FA1609F">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税率</w:t>
      </w:r>
      <w:r>
        <w:rPr>
          <w:rFonts w:hint="eastAsia" w:ascii="仿宋" w:hAnsi="仿宋" w:eastAsia="仿宋" w:cs="仿宋"/>
          <w:sz w:val="28"/>
          <w:szCs w:val="28"/>
          <w:lang w:val="en-US" w:eastAsia="zh-CN"/>
        </w:rPr>
        <w:t>及价格</w:t>
      </w:r>
      <w:r>
        <w:rPr>
          <w:rFonts w:hint="default" w:ascii="仿宋" w:hAnsi="仿宋" w:eastAsia="仿宋" w:cs="仿宋"/>
          <w:sz w:val="28"/>
          <w:szCs w:val="28"/>
          <w:lang w:val="en-US" w:eastAsia="zh-CN"/>
        </w:rPr>
        <w:t>：所有含税价格均为含</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lang w:val="en-US" w:eastAsia="zh-CN"/>
        </w:rPr>
        <w:tab/>
      </w:r>
      <w:r>
        <w:rPr>
          <w:rFonts w:hint="default" w:ascii="仿宋" w:hAnsi="仿宋" w:eastAsia="仿宋" w:cs="仿宋"/>
          <w:sz w:val="28"/>
          <w:szCs w:val="28"/>
          <w:lang w:val="en-US" w:eastAsia="zh-CN"/>
        </w:rPr>
        <w:t>增值税专用发票价格。含税价格包含</w:t>
      </w:r>
      <w:r>
        <w:rPr>
          <w:rFonts w:hint="eastAsia" w:ascii="仿宋" w:hAnsi="仿宋" w:eastAsia="仿宋" w:cs="仿宋"/>
          <w:sz w:val="28"/>
          <w:szCs w:val="28"/>
          <w:lang w:val="en-US" w:eastAsia="zh-CN"/>
        </w:rPr>
        <w:t>该项目拆除、垃圾外运、土方回填</w:t>
      </w:r>
      <w:r>
        <w:rPr>
          <w:rFonts w:hint="default" w:ascii="仿宋" w:hAnsi="仿宋" w:eastAsia="仿宋" w:cs="仿宋"/>
          <w:sz w:val="28"/>
          <w:szCs w:val="28"/>
          <w:lang w:val="en-US" w:eastAsia="zh-CN"/>
        </w:rPr>
        <w:t>等</w:t>
      </w:r>
      <w:r>
        <w:rPr>
          <w:rFonts w:hint="eastAsia" w:ascii="仿宋" w:hAnsi="仿宋" w:eastAsia="仿宋" w:cs="仿宋"/>
          <w:sz w:val="28"/>
          <w:szCs w:val="28"/>
          <w:lang w:val="en-US" w:eastAsia="zh-CN"/>
        </w:rPr>
        <w:t>全部</w:t>
      </w:r>
      <w:r>
        <w:rPr>
          <w:rFonts w:hint="default" w:ascii="仿宋" w:hAnsi="仿宋" w:eastAsia="仿宋" w:cs="仿宋"/>
          <w:sz w:val="28"/>
          <w:szCs w:val="28"/>
          <w:lang w:val="en-US" w:eastAsia="zh-CN"/>
        </w:rPr>
        <w:t>费用。</w:t>
      </w:r>
    </w:p>
    <w:p w14:paraId="3B939EF9">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付款方式：</w:t>
      </w:r>
      <w:r>
        <w:rPr>
          <w:rFonts w:hint="eastAsia" w:ascii="仿宋" w:hAnsi="仿宋" w:eastAsia="仿宋" w:cs="仿宋"/>
          <w:sz w:val="28"/>
          <w:szCs w:val="28"/>
          <w:lang w:val="en-US" w:eastAsia="zh-CN"/>
        </w:rPr>
        <w:t>银行现金转账，工程竣工验收合格且档案资料交接齐全后，付合同总价100%，经承包商申请后一次性结清</w:t>
      </w:r>
      <w:r>
        <w:rPr>
          <w:rFonts w:hint="default" w:ascii="仿宋" w:hAnsi="仿宋" w:eastAsia="仿宋" w:cs="仿宋"/>
          <w:sz w:val="28"/>
          <w:szCs w:val="28"/>
          <w:lang w:val="en-US" w:eastAsia="zh-CN"/>
        </w:rPr>
        <w:t>。</w:t>
      </w:r>
    </w:p>
    <w:p w14:paraId="0093B3CA">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到货周期：</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14:paraId="2E59BA49">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工期：</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具体以业务管理部门实际通知开工日期开始计算，共计25个日历日</w:t>
      </w:r>
      <w:r>
        <w:rPr>
          <w:rFonts w:hint="default" w:ascii="仿宋" w:hAnsi="仿宋" w:eastAsia="仿宋" w:cs="仿宋"/>
          <w:sz w:val="28"/>
          <w:szCs w:val="28"/>
          <w:lang w:val="en-US" w:eastAsia="zh-CN"/>
        </w:rPr>
        <w:t>。</w:t>
      </w:r>
    </w:p>
    <w:p w14:paraId="695EF52E">
      <w:pPr>
        <w:numPr>
          <w:ilvl w:val="0"/>
          <w:numId w:val="4"/>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谈判当天未在规定时间内按要求发送报价的，视为弃权。</w:t>
      </w:r>
    </w:p>
    <w:p w14:paraId="041AF442">
      <w:pPr>
        <w:numPr>
          <w:ilvl w:val="0"/>
          <w:numId w:val="4"/>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谈判项目报名单位在“中国执行信息公开网”查询中属失信被执行人的，视为无履约能力，不得报名参加，已报名的视为无效报名。</w:t>
      </w:r>
    </w:p>
    <w:p w14:paraId="78A2C0D5">
      <w:pPr>
        <w:pStyle w:val="3"/>
        <w:keepNext w:val="0"/>
        <w:keepLines w:val="0"/>
        <w:widowControl/>
        <w:suppressLineNumbers w:val="0"/>
        <w:spacing w:before="0" w:beforeAutospacing="0" w:after="0" w:afterAutospacing="0"/>
        <w:ind w:left="0" w:firstLine="0"/>
        <w:jc w:val="left"/>
        <w:rPr>
          <w:rFonts w:hint="default"/>
          <w:lang w:val="en-US" w:eastAsia="zh-CN"/>
        </w:rPr>
      </w:pPr>
      <w:r>
        <w:rPr>
          <w:rFonts w:hint="eastAsia" w:ascii="仿宋" w:hAnsi="仿宋" w:eastAsia="仿宋" w:cs="仿宋"/>
          <w:color w:val="000000"/>
          <w:sz w:val="28"/>
          <w:szCs w:val="28"/>
          <w:lang w:val="en-US" w:eastAsia="zh-CN"/>
        </w:rPr>
        <w:t>10.</w:t>
      </w:r>
      <w:r>
        <w:rPr>
          <w:rFonts w:ascii="仿宋" w:hAnsi="仿宋" w:eastAsia="仿宋" w:cs="仿宋"/>
          <w:color w:val="000000"/>
          <w:sz w:val="28"/>
          <w:szCs w:val="28"/>
        </w:rPr>
        <w:t>若</w:t>
      </w:r>
      <w:r>
        <w:rPr>
          <w:rFonts w:hint="eastAsia" w:ascii="仿宋" w:hAnsi="仿宋" w:eastAsia="仿宋" w:cs="仿宋"/>
          <w:color w:val="000000"/>
          <w:sz w:val="28"/>
          <w:szCs w:val="28"/>
        </w:rPr>
        <w:t>谈判单位采取低于成本价的报价方式，评委将有权否决其谈判资格</w:t>
      </w:r>
      <w:r>
        <w:rPr>
          <w:rFonts w:hint="eastAsia" w:ascii="仿宋" w:hAnsi="仿宋" w:eastAsia="仿宋" w:cs="仿宋"/>
          <w:color w:val="000000"/>
          <w:sz w:val="28"/>
          <w:szCs w:val="28"/>
          <w:lang w:eastAsia="zh-CN"/>
        </w:rPr>
        <w:t>。</w:t>
      </w:r>
    </w:p>
    <w:p w14:paraId="1632682B">
      <w:pPr>
        <w:pStyle w:val="3"/>
        <w:keepNext w:val="0"/>
        <w:keepLines w:val="0"/>
        <w:widowControl/>
        <w:suppressLineNumbers w:val="0"/>
        <w:spacing w:before="0" w:beforeAutospacing="0" w:after="0" w:afterAutospacing="0"/>
        <w:ind w:left="0" w:firstLine="0"/>
        <w:jc w:val="left"/>
        <w:rPr>
          <w:rFonts w:hint="eastAsia" w:eastAsia="仿宋"/>
          <w:lang w:eastAsia="zh-CN"/>
        </w:rPr>
      </w:pPr>
    </w:p>
    <w:p w14:paraId="0797C667">
      <w:pPr>
        <w:numPr>
          <w:ilvl w:val="0"/>
          <w:numId w:val="0"/>
        </w:numPr>
        <w:spacing w:line="360" w:lineRule="auto"/>
        <w:jc w:val="both"/>
        <w:rPr>
          <w:rFonts w:hint="default" w:ascii="仿宋" w:hAnsi="仿宋" w:eastAsia="仿宋" w:cs="仿宋"/>
          <w:sz w:val="28"/>
          <w:szCs w:val="28"/>
          <w:lang w:val="en-US" w:eastAsia="zh-CN"/>
        </w:rPr>
      </w:pPr>
    </w:p>
    <w:p w14:paraId="0E0DBCCA">
      <w:pPr>
        <w:bidi w:val="0"/>
        <w:rPr>
          <w:rFonts w:hint="default" w:asciiTheme="minorHAnsi" w:hAnsiTheme="minorHAnsi" w:eastAsiaTheme="minorEastAsia" w:cstheme="minorBidi"/>
          <w:kern w:val="2"/>
          <w:sz w:val="21"/>
          <w:szCs w:val="24"/>
          <w:lang w:val="en-US" w:eastAsia="zh-CN" w:bidi="ar-SA"/>
        </w:rPr>
      </w:pPr>
    </w:p>
    <w:p w14:paraId="15E58DD7">
      <w:pPr>
        <w:bidi w:val="0"/>
        <w:rPr>
          <w:rFonts w:hint="default"/>
          <w:lang w:val="en-US" w:eastAsia="zh-CN"/>
        </w:rPr>
      </w:pPr>
    </w:p>
    <w:p w14:paraId="6A1C0667">
      <w:pPr>
        <w:bidi w:val="0"/>
        <w:rPr>
          <w:rFonts w:hint="default"/>
          <w:lang w:val="en-US" w:eastAsia="zh-CN"/>
        </w:rPr>
      </w:pPr>
    </w:p>
    <w:p w14:paraId="046F960D">
      <w:pPr>
        <w:bidi w:val="0"/>
        <w:rPr>
          <w:rFonts w:hint="default"/>
          <w:lang w:val="en-US" w:eastAsia="zh-CN"/>
        </w:rPr>
      </w:pPr>
    </w:p>
    <w:p w14:paraId="44AD8DA0">
      <w:pPr>
        <w:bidi w:val="0"/>
        <w:rPr>
          <w:rFonts w:hint="default"/>
          <w:lang w:val="en-US" w:eastAsia="zh-CN"/>
        </w:rPr>
      </w:pPr>
    </w:p>
    <w:p w14:paraId="6B7B659E">
      <w:pPr>
        <w:bidi w:val="0"/>
        <w:rPr>
          <w:rFonts w:hint="default"/>
          <w:lang w:val="en-US" w:eastAsia="zh-CN"/>
        </w:rPr>
      </w:pPr>
    </w:p>
    <w:p w14:paraId="40B05979">
      <w:pPr>
        <w:bidi w:val="0"/>
        <w:ind w:firstLine="366"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UI Emoji">
    <w:panose1 w:val="020B0502040204020203"/>
    <w:charset w:val="00"/>
    <w:family w:val="auto"/>
    <w:pitch w:val="default"/>
    <w:sig w:usb0="00000001" w:usb1="02000000" w:usb2="08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B4FCB"/>
    <w:multiLevelType w:val="singleLevel"/>
    <w:tmpl w:val="CCDB4FCB"/>
    <w:lvl w:ilvl="0" w:tentative="0">
      <w:start w:val="1"/>
      <w:numFmt w:val="decimal"/>
      <w:lvlText w:val="%1."/>
      <w:lvlJc w:val="left"/>
      <w:pPr>
        <w:tabs>
          <w:tab w:val="left" w:pos="312"/>
        </w:tabs>
      </w:pPr>
    </w:lvl>
  </w:abstractNum>
  <w:abstractNum w:abstractNumId="1">
    <w:nsid w:val="DFCF0253"/>
    <w:multiLevelType w:val="singleLevel"/>
    <w:tmpl w:val="DFCF0253"/>
    <w:lvl w:ilvl="0" w:tentative="0">
      <w:start w:val="1"/>
      <w:numFmt w:val="decimal"/>
      <w:lvlText w:val="%1."/>
      <w:lvlJc w:val="left"/>
      <w:pPr>
        <w:tabs>
          <w:tab w:val="left" w:pos="312"/>
        </w:tabs>
      </w:pPr>
    </w:lvl>
  </w:abstractNum>
  <w:abstractNum w:abstractNumId="2">
    <w:nsid w:val="47278D17"/>
    <w:multiLevelType w:val="singleLevel"/>
    <w:tmpl w:val="47278D17"/>
    <w:lvl w:ilvl="0" w:tentative="0">
      <w:start w:val="2"/>
      <w:numFmt w:val="chineseCounting"/>
      <w:suff w:val="nothing"/>
      <w:lvlText w:val="%1、"/>
      <w:lvlJc w:val="left"/>
      <w:rPr>
        <w:rFonts w:hint="eastAsia"/>
      </w:rPr>
    </w:lvl>
  </w:abstractNum>
  <w:abstractNum w:abstractNumId="3">
    <w:nsid w:val="7DF4FB78"/>
    <w:multiLevelType w:val="singleLevel"/>
    <w:tmpl w:val="7DF4FB78"/>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jcxOGUwZjFmZDQ3OWI5YjA5MDg2NjY3OTkzNGYifQ=="/>
  </w:docVars>
  <w:rsids>
    <w:rsidRoot w:val="00000000"/>
    <w:rsid w:val="017417C4"/>
    <w:rsid w:val="02223D56"/>
    <w:rsid w:val="04671EF4"/>
    <w:rsid w:val="055F3042"/>
    <w:rsid w:val="06E94F7C"/>
    <w:rsid w:val="08BC1DD1"/>
    <w:rsid w:val="0A39319E"/>
    <w:rsid w:val="0A633666"/>
    <w:rsid w:val="0A8A567C"/>
    <w:rsid w:val="0FB029A1"/>
    <w:rsid w:val="0FE20680"/>
    <w:rsid w:val="127B54E8"/>
    <w:rsid w:val="18771EB1"/>
    <w:rsid w:val="18941CD2"/>
    <w:rsid w:val="1B24401E"/>
    <w:rsid w:val="24191D42"/>
    <w:rsid w:val="25BF43FD"/>
    <w:rsid w:val="261A02E3"/>
    <w:rsid w:val="2ED677CB"/>
    <w:rsid w:val="31287BD9"/>
    <w:rsid w:val="37545577"/>
    <w:rsid w:val="3B620A15"/>
    <w:rsid w:val="3B64270E"/>
    <w:rsid w:val="3D522C22"/>
    <w:rsid w:val="4604730E"/>
    <w:rsid w:val="4650264D"/>
    <w:rsid w:val="47156CFF"/>
    <w:rsid w:val="47262F6D"/>
    <w:rsid w:val="48835979"/>
    <w:rsid w:val="49844AAA"/>
    <w:rsid w:val="4AF50D13"/>
    <w:rsid w:val="4D716F40"/>
    <w:rsid w:val="4E803ED7"/>
    <w:rsid w:val="513A7953"/>
    <w:rsid w:val="53523AB0"/>
    <w:rsid w:val="57951C48"/>
    <w:rsid w:val="5C490690"/>
    <w:rsid w:val="5D1119EB"/>
    <w:rsid w:val="5FE945CB"/>
    <w:rsid w:val="61EF75BD"/>
    <w:rsid w:val="626B7C40"/>
    <w:rsid w:val="6356177B"/>
    <w:rsid w:val="68F760C0"/>
    <w:rsid w:val="69A14B29"/>
    <w:rsid w:val="6A6A370E"/>
    <w:rsid w:val="6BC07D2F"/>
    <w:rsid w:val="730D0827"/>
    <w:rsid w:val="73470603"/>
    <w:rsid w:val="73A4735D"/>
    <w:rsid w:val="76BF6E30"/>
    <w:rsid w:val="76C57BCB"/>
    <w:rsid w:val="79D815F5"/>
    <w:rsid w:val="7CA97BB7"/>
    <w:rsid w:val="7F09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639</Words>
  <Characters>681</Characters>
  <Lines>0</Lines>
  <Paragraphs>0</Paragraphs>
  <TotalTime>996</TotalTime>
  <ScaleCrop>false</ScaleCrop>
  <LinksUpToDate>false</LinksUpToDate>
  <CharactersWithSpaces>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2024-01-15T07:00:00Z</dcterms:created>
  <dc:creator>Administrator</dc:creator>
  <cp:lastModifiedBy>崔鹏飞</cp:lastModifiedBy>
  <cp:lastPrinted>2025-09-05T01:16:55Z</cp:lastPrinted>
  <dcterms:modified xsi:type="dcterms:W3CDTF">2025-09-05T01:57:38Z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292FB34B698B4213823ABA2854CF9B88_13</vt:lpwstr>
  </property>
  <property fmtid="{D5CDD505-2E9C-101B-9397-08002B2CF9AE}" pid="4" name="KSOTemplateDocerSaveRecord">
    <vt:lpwstr>eyJoZGlkIjoiY2NjZDMzYWY1OGUzMGEwMzRlYmVkZmJjYTMwNjFhYTkiLCJ1c2VySWQiOiIyNDQ1MjAxMjMifQ==</vt:lpwstr>
  </property>
</Properties>
</file>