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2026年4月3日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3吨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2026年4月2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2026年4月1日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>
      <w:pPr>
        <w:rPr>
          <w:rFonts w:hint="eastAsia"/>
        </w:rPr>
      </w:pPr>
    </w:p>
    <w:p>
      <w:pPr>
        <w:jc w:val="both"/>
        <w:rPr>
          <w:rFonts w:hint="eastAsia"/>
          <w:b/>
          <w:sz w:val="28"/>
          <w:szCs w:val="28"/>
          <w:lang w:eastAsia="zh-CN"/>
        </w:rPr>
      </w:pPr>
    </w:p>
    <w:p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>
      <w:pPr>
        <w:jc w:val="center"/>
        <w:rPr>
          <w:rFonts w:hint="eastAsia"/>
          <w:b/>
          <w:sz w:val="28"/>
          <w:szCs w:val="28"/>
        </w:rPr>
      </w:pPr>
    </w:p>
    <w:p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</w:rPr>
            </w:pPr>
          </w:p>
        </w:tc>
      </w:tr>
    </w:tbl>
    <w:p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4月3</w:t>
      </w:r>
      <w:bookmarkStart w:id="1" w:name="_GoBack"/>
      <w:bookmarkEnd w:id="1"/>
      <w:r>
        <w:rPr>
          <w:rFonts w:hint="eastAsia"/>
          <w:b/>
          <w:bCs/>
          <w:lang w:val="en-US" w:eastAsia="zh-CN"/>
        </w:rPr>
        <w:t>上午定盘价+升贴水</w:t>
      </w:r>
    </w:p>
    <w:p>
      <w:pPr>
        <w:rPr>
          <w:rFonts w:hint="eastAsia"/>
        </w:rPr>
      </w:pPr>
      <w:r>
        <w:rPr>
          <w:rFonts w:hint="eastAsia"/>
        </w:rPr>
        <w:t xml:space="preserve">  </w:t>
      </w:r>
    </w:p>
    <w:p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D7900CE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629</Characters>
  <Lines>0</Lines>
  <Paragraphs>0</Paragraphs>
  <TotalTime>289</TotalTime>
  <ScaleCrop>false</ScaleCrop>
  <LinksUpToDate>false</LinksUpToDate>
  <CharactersWithSpaces>933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2026-02-10T07:03:00Z</cp:lastPrinted>
  <dcterms:modified xsi:type="dcterms:W3CDTF">2026-04-01T08:29:44Z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