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eastAsia="仿宋" w:cs="仿宋"/>
          <w:sz w:val="28"/>
          <w:szCs w:val="28"/>
        </w:rPr>
        <w:t>，请有</w:t>
      </w:r>
      <w:r>
        <w:rPr>
          <w:rFonts w:hint="eastAsia" w:asci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eastAsia="仿宋" w:cs="仿宋"/>
          <w:sz w:val="28"/>
          <w:szCs w:val="28"/>
        </w:rPr>
        <w:t>意向的供应商提交</w:t>
      </w:r>
      <w:r>
        <w:rPr>
          <w:rFonts w:hint="eastAsia" w:asci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CGB2026190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（公司柴油车维修保养服务）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5"/>
        <w:tblW w:w="77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56"/>
        <w:gridCol w:w="1470"/>
        <w:gridCol w:w="675"/>
        <w:gridCol w:w="585"/>
        <w:gridCol w:w="166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价目表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3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3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旁通阀式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可变截面式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电子模块式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凸轮轴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江铃专用/1升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江铃专用/4升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江铃专用/1升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SAE5W30/4升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SAE10W30/4升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TO1744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BO1332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博世电喷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CXL222A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四轮保养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助力泵皮带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空调皮带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清洗水箱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零下40度/9.5升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零下25度/4升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四配套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蒸发箱总成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冷凝器总成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环保134a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缸盖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发动机清洗剂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桶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桶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助力油壶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门扣手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空调清洗液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助力泵油管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空调电机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排气管前节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排气管接口垫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离合器总泵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V348专用/4升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连杆瓦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气门挺杆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气门底托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大修包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T3/1升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T4/1升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V348专用/1升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镗缸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分轮总承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V348专用/1升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皮带涨紧轮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雨刮片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平衡杆拉杆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防虫网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防凝剂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大灯灯泡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雾灯灯泡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DPF清洗剂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DPF还原剂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平衡杆胶套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启停电瓶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拉杆球头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气门摇臂总承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正时链条导板V1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正时链条导板V2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正时链条导板V3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正时链条导向条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时规盖板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曲轴正时轮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曲轴前后油封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轮速传感器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鼓风电机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变速箱一轴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一轴轴承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二轴轴承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副轴轴承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减震器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下支臂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下支臂球头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后杠包角上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后杠包角下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高位刹车灯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刹车制动钳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刹车制动钳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变速箱总成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变速箱总成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德国格特拉克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喷油器总承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喷油器总承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喷油器总承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德尔福国六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高压泵总承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进气软管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油箱盖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暖风水阀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后轮油封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雨刮连动杆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车门锁快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ABS齿环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起动机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起动机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传动轴过桥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差速器油封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差速器油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80W90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前轮分泵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尿素液位传感器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预热塞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预热塞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排温传感器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清洗三元催化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废气循环阀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后处理DPF总承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四驱前半轴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后半轴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半轴外球笼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空调电子扇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档杆拉线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LED大灯灯泡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压差传感器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国五、国六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尿素喷嘴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尿素加热器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遥控器匹配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刷写电脑版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发动机气门室盖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玻璃升降器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半轴油封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机油保养服务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钢板胶套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减振器套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超声波清洗发动机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EGR散热器总成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v348专用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EGR散热器清洗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小循环水管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增压器回油管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机油散热器水管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机油散热器总成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维修发动机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发动机机脚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国六空气流量计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缸体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尿素加热管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三元催化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排气管节流阀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进气管节流阀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进气压力传感器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国六新型文丘里传感器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排气压力传感器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国六文丘里管总承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国六油气分离器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润滑系统换油维护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校喷油器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保养发电机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离合器三件套更换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firstLine="0"/>
        <w:jc w:val="both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专项修理汽车、摩托车配件销售、汽车电器修理、汽车空调修理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asci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asci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及价格</w:t>
      </w:r>
      <w:r>
        <w:rPr>
          <w:rFonts w:asci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asci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、工时</w:t>
      </w:r>
      <w:r>
        <w:rPr>
          <w:rFonts w:ascii="仿宋" w:eastAsia="仿宋" w:cs="仿宋"/>
          <w:sz w:val="28"/>
          <w:szCs w:val="28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质保期：</w:t>
      </w:r>
      <w:r>
        <w:rPr>
          <w:rFonts w:asci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asci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asci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asci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asci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asci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asci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asci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asci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修理厂地点北至三门峡北环路（含）、东至宋会路（含）、南至陇海铁路、西至大王镇政府两公里内，项目禁止转包。</w:t>
      </w:r>
    </w:p>
    <w:p>
      <w:pPr>
        <w:bidi w:val="0"/>
        <w:rPr>
          <w:rFonts w:ascii="Calibri" w:hAnsi="Calibri" w:eastAsia="宋体" w:cs="Arial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66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E1NjIzODBjNTJjYjliYTFkYjdmOTYwYTcyNTdmZmYifQ=="/>
  </w:docVars>
  <w:rsids>
    <w:rsidRoot w:val="00000000"/>
    <w:rsid w:val="03942C87"/>
    <w:rsid w:val="049F4B9F"/>
    <w:rsid w:val="0F265A57"/>
    <w:rsid w:val="1FCF57AF"/>
    <w:rsid w:val="34563D93"/>
    <w:rsid w:val="38AA1E25"/>
    <w:rsid w:val="44156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2709</Words>
  <Characters>3293</Characters>
  <Lines>0</Lines>
  <Paragraphs>28</Paragraphs>
  <TotalTime>10</TotalTime>
  <ScaleCrop>false</ScaleCrop>
  <LinksUpToDate>false</LinksUpToDate>
  <CharactersWithSpaces>3323</CharactersWithSpaces>
  <Application>WPS Office_11.8.2.12187_F1E327BC-269C-435d-A152-05C5408002CA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邰佳乐</cp:lastModifiedBy>
  <dcterms:modified xsi:type="dcterms:W3CDTF">2026-04-30T02:47:35Z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