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CGB2026194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（彩钢板翻新）.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设备能源计量部.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1.墙面吹扫、清洗，喷涂防锈底漆一遍，面漆两遍；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2.屋面打磨除锈、吹扫、铆钉眼处补漏，喷涂防锈底漆一遍，面漆两遍；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3.包工包料；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4.屋面和墙面按高度分为20m以下、20m-40m、40m-60m；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5.详见清单。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，资质证书：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钢结构工程专业承包叁级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及叁级以上</w:t>
      </w:r>
      <w:r>
        <w:rPr>
          <w:rFonts w:hint="eastAsia" w:ascii="仿宋" w:hAnsi="仿宋" w:eastAsia="仿宋" w:cs="仿宋"/>
          <w:sz w:val="28"/>
          <w:szCs w:val="28"/>
          <w:u w:val="none"/>
          <w:lang w:val="zh-CN" w:eastAsia="zh-CN"/>
        </w:rPr>
        <w:t>资质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u w:val="none"/>
          <w:lang w:val="zh-CN" w:eastAsia="zh-CN"/>
        </w:rPr>
        <w:t>具有有效的安全生产许可证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施工中安全防护用品、用具，搭建脚手架或使用登高设备，均由乙方自行处理并承担相应的费用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所有人员年龄不得超过法定退休年龄，需进行三级安全教育培训且考试合格，每个人都必须购买个人不低于100万的人身意外伤害险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高处作业人员需具有应急管理局发放的高处作业证，操作项目类别：高处安装、维护、拆除作业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施工前需制定详细的施工方案，办理相关作业票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8年，在质保期内有质量问题需无偿修复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付款方式：以实际翻新面积测量（减去门、窗），验收合格的测量面积×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单价进行结算，经审计后付审计金额的97%，付款前开具税率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%全额增值税专用发票,剩余3%为质量保证金，1年后无质量问题无息支付乙方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10.合同有效期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B051CE"/>
    <w:rsid w:val="04C114DE"/>
    <w:rsid w:val="055F3042"/>
    <w:rsid w:val="0FB029A1"/>
    <w:rsid w:val="16621F45"/>
    <w:rsid w:val="1A586F75"/>
    <w:rsid w:val="1CC67B42"/>
    <w:rsid w:val="21A3051C"/>
    <w:rsid w:val="21C638E7"/>
    <w:rsid w:val="22F15EC7"/>
    <w:rsid w:val="289A482F"/>
    <w:rsid w:val="2A714A85"/>
    <w:rsid w:val="2E061899"/>
    <w:rsid w:val="2FBB2137"/>
    <w:rsid w:val="31F81E83"/>
    <w:rsid w:val="37396333"/>
    <w:rsid w:val="38B82A24"/>
    <w:rsid w:val="39576636"/>
    <w:rsid w:val="3B28437A"/>
    <w:rsid w:val="3B620A15"/>
    <w:rsid w:val="42CC6151"/>
    <w:rsid w:val="43CC068E"/>
    <w:rsid w:val="4D716F40"/>
    <w:rsid w:val="512D4E4B"/>
    <w:rsid w:val="530729A0"/>
    <w:rsid w:val="56937AA5"/>
    <w:rsid w:val="57D36AA6"/>
    <w:rsid w:val="58BB5747"/>
    <w:rsid w:val="5E764670"/>
    <w:rsid w:val="6F8A50D3"/>
    <w:rsid w:val="7471083B"/>
    <w:rsid w:val="75F91915"/>
    <w:rsid w:val="775639E1"/>
    <w:rsid w:val="7A7868F0"/>
    <w:rsid w:val="7CA97BB7"/>
    <w:rsid w:val="7D267D8D"/>
    <w:rsid w:val="7FA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2026-04-30T07:15:40Z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